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7193"/>
      <w:bookmarkStart w:id="2" w:name="_Toc15377425"/>
      <w:bookmarkStart w:id="3" w:name="_Toc15396475"/>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77426"/>
      <w:bookmarkStart w:id="7" w:name="_Toc15377194"/>
      <w:bookmarkStart w:id="8" w:name="_Toc15396598"/>
      <w:bookmarkStart w:id="9" w:name="_Toc15378442"/>
      <w:bookmarkStart w:id="10" w:name="_Toc15396476"/>
      <w:r>
        <w:rPr>
          <w:rFonts w:hint="eastAsia" w:ascii="方正小标宋简体" w:hAnsi="方正小标宋简体" w:eastAsia="方正小标宋简体" w:cs="方正小标宋简体"/>
          <w:sz w:val="72"/>
          <w:szCs w:val="72"/>
        </w:rPr>
        <w:t>泸县</w:t>
      </w:r>
      <w:bookmarkEnd w:id="5"/>
      <w:bookmarkStart w:id="11" w:name="_Toc15306268"/>
      <w:r>
        <w:rPr>
          <w:rFonts w:hint="eastAsia" w:ascii="方正小标宋简体" w:hAnsi="方正小标宋简体" w:eastAsia="方正小标宋简体" w:cs="方正小标宋简体"/>
          <w:sz w:val="72"/>
          <w:szCs w:val="72"/>
          <w:lang w:eastAsia="zh-CN"/>
        </w:rPr>
        <w:t>百和镇</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pStyle w:val="2"/>
        <w:rPr>
          <w:rFonts w:hint="eastAsia" w:ascii="方正小标宋简体" w:hAnsi="方正小标宋简体" w:eastAsia="方正小标宋简体" w:cs="方正小标宋简体"/>
          <w:sz w:val="72"/>
          <w:szCs w:val="72"/>
        </w:rPr>
      </w:pPr>
    </w:p>
    <w:p>
      <w:pPr>
        <w:pStyle w:val="2"/>
        <w:rPr>
          <w:rFonts w:hint="eastAsia" w:ascii="方正小标宋简体" w:hAnsi="方正小标宋简体" w:eastAsia="方正小标宋简体" w:cs="方正小标宋简体"/>
          <w:sz w:val="72"/>
          <w:szCs w:val="72"/>
        </w:rPr>
      </w:pPr>
    </w:p>
    <w:p>
      <w:pPr>
        <w:pStyle w:val="2"/>
        <w:rPr>
          <w:rFonts w:hint="eastAsia" w:ascii="方正小标宋简体" w:hAnsi="方正小标宋简体" w:eastAsia="方正小标宋简体" w:cs="方正小标宋简体"/>
          <w:sz w:val="72"/>
          <w:szCs w:val="72"/>
        </w:rPr>
      </w:pPr>
    </w:p>
    <w:p>
      <w:pPr>
        <w:pStyle w:val="2"/>
        <w:rPr>
          <w:rFonts w:hint="eastAsia" w:ascii="方正小标宋简体" w:hAnsi="方正小标宋简体" w:eastAsia="方正小标宋简体" w:cs="方正小标宋简体"/>
          <w:sz w:val="72"/>
          <w:szCs w:val="72"/>
        </w:rPr>
      </w:pPr>
    </w:p>
    <w:p>
      <w:pPr>
        <w:pStyle w:val="2"/>
        <w:rPr>
          <w:rFonts w:hint="eastAsia" w:ascii="方正小标宋简体" w:hAnsi="方正小标宋简体" w:eastAsia="方正小标宋简体" w:cs="方正小标宋简体"/>
          <w:sz w:val="72"/>
          <w:szCs w:val="72"/>
        </w:rPr>
      </w:pPr>
    </w:p>
    <w:p>
      <w:pPr>
        <w:pStyle w:val="10"/>
        <w:rPr>
          <w:b/>
          <w:bCs/>
          <w:sz w:val="36"/>
          <w:szCs w:val="36"/>
        </w:rPr>
      </w:pPr>
      <w:r>
        <w:rPr>
          <w:rFonts w:hint="eastAsia"/>
          <w:b/>
          <w:bCs/>
          <w:sz w:val="36"/>
          <w:szCs w:val="36"/>
        </w:rPr>
        <w:t>公开时间：2022年</w:t>
      </w:r>
      <w:r>
        <w:rPr>
          <w:rFonts w:hint="eastAsia"/>
          <w:b/>
          <w:bCs/>
          <w:sz w:val="36"/>
          <w:szCs w:val="36"/>
          <w:lang w:val="en-US" w:eastAsia="zh-CN"/>
        </w:rPr>
        <w:t>12</w:t>
      </w:r>
      <w:r>
        <w:rPr>
          <w:rFonts w:hint="eastAsia"/>
          <w:b/>
          <w:bCs/>
          <w:sz w:val="36"/>
          <w:szCs w:val="36"/>
        </w:rPr>
        <w:t>月2</w:t>
      </w:r>
      <w:r>
        <w:rPr>
          <w:rFonts w:hint="eastAsia"/>
          <w:b/>
          <w:bCs/>
          <w:sz w:val="36"/>
          <w:szCs w:val="36"/>
          <w:lang w:val="en-US" w:eastAsia="zh-CN"/>
        </w:rPr>
        <w:t>7</w:t>
      </w:r>
      <w:r>
        <w:rPr>
          <w:rFonts w:hint="eastAsia"/>
          <w:b/>
          <w:bCs/>
          <w:sz w:val="36"/>
          <w:szCs w:val="36"/>
        </w:rPr>
        <w:t>日</w:t>
      </w:r>
      <w:bookmarkStart w:id="80" w:name="_GoBack"/>
      <w:bookmarkEnd w:id="80"/>
    </w:p>
    <w:p>
      <w:pPr>
        <w:keepNext w:val="0"/>
        <w:keepLines w:val="0"/>
        <w:pageBreakBefore w:val="0"/>
        <w:widowControl/>
        <w:kinsoku/>
        <w:wordWrap/>
        <w:overflowPunct/>
        <w:topLinePunct w:val="0"/>
        <w:autoSpaceDE/>
        <w:autoSpaceDN/>
        <w:bidi w:val="0"/>
        <w:spacing w:line="560" w:lineRule="exact"/>
        <w:ind w:left="0" w:leftChars="0" w:firstLine="0" w:firstLineChars="0"/>
        <w:jc w:val="center"/>
        <w:textAlignment w:val="auto"/>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keepNext w:val="0"/>
        <w:keepLines w:val="0"/>
        <w:pageBreakBefore w:val="0"/>
        <w:widowControl/>
        <w:kinsoku/>
        <w:wordWrap/>
        <w:overflowPunct/>
        <w:topLinePunct w:val="0"/>
        <w:autoSpaceDE/>
        <w:autoSpaceDN/>
        <w:bidi w:val="0"/>
        <w:spacing w:line="560" w:lineRule="exact"/>
        <w:ind w:left="0" w:leftChars="0" w:firstLine="0" w:firstLineChars="0"/>
        <w:jc w:val="left"/>
        <w:textAlignment w:val="auto"/>
        <w:rPr>
          <w:rFonts w:ascii="黑体" w:hAnsi="黑体" w:eastAsia="黑体" w:cstheme="minorBidi"/>
          <w:sz w:val="28"/>
          <w:szCs w:val="28"/>
        </w:rPr>
      </w:pPr>
    </w:p>
    <w:p>
      <w:pPr>
        <w:keepNext w:val="0"/>
        <w:keepLines w:val="0"/>
        <w:pageBreakBefore w:val="0"/>
        <w:kinsoku/>
        <w:wordWrap/>
        <w:overflowPunct/>
        <w:topLinePunct w:val="0"/>
        <w:autoSpaceDE/>
        <w:autoSpaceDN/>
        <w:bidi w:val="0"/>
        <w:spacing w:line="560" w:lineRule="exact"/>
        <w:ind w:left="0" w:leftChars="0" w:firstLine="0" w:firstLineChars="0"/>
        <w:jc w:val="left"/>
        <w:textAlignment w:val="auto"/>
      </w:pPr>
    </w:p>
    <w:p>
      <w:pPr>
        <w:pStyle w:val="10"/>
        <w:keepNext w:val="0"/>
        <w:keepLines w:val="0"/>
        <w:pageBreakBefore w:val="0"/>
        <w:kinsoku/>
        <w:wordWrap/>
        <w:overflowPunct/>
        <w:topLinePunct w:val="0"/>
        <w:autoSpaceDE/>
        <w:autoSpaceDN/>
        <w:bidi w:val="0"/>
        <w:adjustRightInd w:val="0"/>
        <w:snapToGrid w:val="0"/>
        <w:spacing w:before="0" w:line="560" w:lineRule="exact"/>
        <w:ind w:left="0" w:leftChars="0" w:firstLine="0" w:firstLineChars="0"/>
        <w:jc w:val="left"/>
        <w:textAlignment w:val="auto"/>
        <w:rPr>
          <w:rFonts w:cstheme="minorBidi"/>
          <w:sz w:val="24"/>
          <w:szCs w:val="24"/>
        </w:rPr>
      </w:pPr>
      <w:r>
        <w:rPr>
          <w:rFonts w:hint="eastAsia"/>
          <w:sz w:val="24"/>
        </w:rPr>
        <w:t>第一部分部门概况</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 w:hAnsi="仿宋" w:eastAsia="仿宋"/>
          <w:sz w:val="24"/>
        </w:rPr>
      </w:pPr>
      <w:r>
        <w:rPr>
          <w:rFonts w:hint="eastAsia"/>
          <w:sz w:val="24"/>
        </w:rPr>
        <w:t>一、基本职能及主要工作</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 w:hAnsi="仿宋" w:eastAsia="仿宋" w:cstheme="minorBidi"/>
          <w:sz w:val="24"/>
        </w:rPr>
      </w:pPr>
      <w:r>
        <w:rPr>
          <w:rFonts w:hint="eastAsia"/>
          <w:sz w:val="24"/>
        </w:rPr>
        <w:t>二、机构设置</w:t>
      </w:r>
    </w:p>
    <w:p>
      <w:pPr>
        <w:pStyle w:val="10"/>
        <w:keepNext w:val="0"/>
        <w:keepLines w:val="0"/>
        <w:pageBreakBefore w:val="0"/>
        <w:kinsoku/>
        <w:wordWrap/>
        <w:overflowPunct/>
        <w:topLinePunct w:val="0"/>
        <w:autoSpaceDE/>
        <w:autoSpaceDN/>
        <w:bidi w:val="0"/>
        <w:adjustRightInd w:val="0"/>
        <w:snapToGrid w:val="0"/>
        <w:spacing w:before="0" w:line="560" w:lineRule="exact"/>
        <w:ind w:left="0" w:leftChars="0" w:firstLine="0" w:firstLineChars="0"/>
        <w:jc w:val="left"/>
        <w:textAlignment w:val="auto"/>
        <w:rPr>
          <w:sz w:val="24"/>
          <w:szCs w:val="24"/>
        </w:rPr>
      </w:pPr>
      <w:r>
        <w:rPr>
          <w:rFonts w:hint="eastAsia"/>
          <w:sz w:val="24"/>
        </w:rPr>
        <w:t>第二部分 2021年度部门决算情况说明</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 w:hAnsi="仿宋" w:eastAsia="仿宋" w:cstheme="minorBidi"/>
          <w:sz w:val="24"/>
        </w:rPr>
      </w:pPr>
      <w:r>
        <w:rPr>
          <w:rFonts w:hint="eastAsia"/>
          <w:sz w:val="24"/>
        </w:rPr>
        <w:t>一、收入支出决算总体情况说明</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 w:hAnsi="仿宋" w:eastAsia="仿宋" w:cstheme="minorBidi"/>
          <w:sz w:val="24"/>
        </w:rPr>
      </w:pPr>
      <w:r>
        <w:rPr>
          <w:rFonts w:hint="eastAsia"/>
          <w:sz w:val="24"/>
        </w:rPr>
        <w:t>二、收入决算情况说明</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 w:hAnsi="仿宋" w:eastAsia="仿宋" w:cstheme="minorBidi"/>
          <w:sz w:val="24"/>
        </w:rPr>
      </w:pPr>
      <w:r>
        <w:rPr>
          <w:rFonts w:hint="eastAsia"/>
          <w:sz w:val="24"/>
        </w:rPr>
        <w:t>三、支出决算情况说明</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 w:hAnsi="仿宋" w:eastAsia="仿宋" w:cstheme="minorBidi"/>
          <w:sz w:val="24"/>
        </w:rPr>
      </w:pPr>
      <w:r>
        <w:rPr>
          <w:rFonts w:hint="eastAsia"/>
          <w:sz w:val="24"/>
        </w:rPr>
        <w:t>四、财政拨款收入支出决算总体情况说明</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 w:hAnsi="仿宋" w:eastAsia="仿宋" w:cstheme="minorBidi"/>
          <w:sz w:val="24"/>
        </w:rPr>
      </w:pPr>
      <w:r>
        <w:rPr>
          <w:rFonts w:hint="eastAsia"/>
          <w:sz w:val="24"/>
        </w:rPr>
        <w:t>五、一般公共预算财政拨款支出决算情况说明</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 w:hAnsi="仿宋" w:eastAsia="仿宋" w:cstheme="minorBidi"/>
          <w:sz w:val="24"/>
        </w:rPr>
      </w:pPr>
      <w:r>
        <w:rPr>
          <w:rFonts w:hint="eastAsia"/>
          <w:sz w:val="24"/>
        </w:rPr>
        <w:t>六、一般公共预算财政拨款基本支出决算情况说明</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 w:hAnsi="仿宋" w:eastAsia="仿宋" w:cstheme="minorBidi"/>
          <w:sz w:val="24"/>
        </w:rPr>
      </w:pPr>
      <w:r>
        <w:rPr>
          <w:rFonts w:hint="eastAsia"/>
          <w:sz w:val="24"/>
        </w:rPr>
        <w:t>七、“三公”经费财政拨款支出决算情况说明</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 w:hAnsi="仿宋" w:eastAsia="仿宋" w:cstheme="minorBidi"/>
          <w:sz w:val="24"/>
        </w:rPr>
      </w:pPr>
      <w:r>
        <w:rPr>
          <w:rFonts w:hint="eastAsia"/>
          <w:sz w:val="24"/>
        </w:rPr>
        <w:t>八、政府性基金预算支出决算情况说明</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Style w:val="15"/>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0"/>
        <w:keepNext w:val="0"/>
        <w:keepLines w:val="0"/>
        <w:pageBreakBefore w:val="0"/>
        <w:kinsoku/>
        <w:wordWrap/>
        <w:overflowPunct/>
        <w:topLinePunct w:val="0"/>
        <w:autoSpaceDE/>
        <w:autoSpaceDN/>
        <w:bidi w:val="0"/>
        <w:adjustRightInd w:val="0"/>
        <w:snapToGrid w:val="0"/>
        <w:spacing w:before="0" w:line="560" w:lineRule="exact"/>
        <w:ind w:left="0" w:leftChars="0" w:firstLine="0" w:firstLineChars="0"/>
        <w:jc w:val="left"/>
        <w:textAlignment w:val="auto"/>
        <w:rPr>
          <w:rFonts w:cstheme="minorBidi"/>
          <w:sz w:val="24"/>
          <w:szCs w:val="24"/>
        </w:rPr>
      </w:pPr>
      <w:r>
        <w:rPr>
          <w:rFonts w:hint="eastAsia"/>
          <w:sz w:val="24"/>
        </w:rPr>
        <w:t>第三部分名词解释</w:t>
      </w:r>
    </w:p>
    <w:p>
      <w:pPr>
        <w:pStyle w:val="10"/>
        <w:keepNext w:val="0"/>
        <w:keepLines w:val="0"/>
        <w:pageBreakBefore w:val="0"/>
        <w:kinsoku/>
        <w:wordWrap/>
        <w:overflowPunct/>
        <w:topLinePunct w:val="0"/>
        <w:autoSpaceDE/>
        <w:autoSpaceDN/>
        <w:bidi w:val="0"/>
        <w:adjustRightInd w:val="0"/>
        <w:snapToGrid w:val="0"/>
        <w:spacing w:before="0" w:line="560" w:lineRule="exact"/>
        <w:ind w:left="0" w:leftChars="0" w:firstLine="0" w:firstLineChars="0"/>
        <w:jc w:val="left"/>
        <w:textAlignment w:val="auto"/>
        <w:rPr>
          <w:rFonts w:cstheme="minorBidi"/>
          <w:sz w:val="24"/>
          <w:szCs w:val="24"/>
        </w:rPr>
      </w:pPr>
      <w:r>
        <w:rPr>
          <w:rFonts w:hint="eastAsia"/>
          <w:sz w:val="24"/>
        </w:rPr>
        <w:t>第四部分附件</w:t>
      </w:r>
    </w:p>
    <w:p>
      <w:pPr>
        <w:pStyle w:val="10"/>
        <w:keepNext w:val="0"/>
        <w:keepLines w:val="0"/>
        <w:pageBreakBefore w:val="0"/>
        <w:kinsoku/>
        <w:wordWrap/>
        <w:overflowPunct/>
        <w:topLinePunct w:val="0"/>
        <w:autoSpaceDE/>
        <w:autoSpaceDN/>
        <w:bidi w:val="0"/>
        <w:adjustRightInd w:val="0"/>
        <w:snapToGrid w:val="0"/>
        <w:spacing w:before="0" w:line="560" w:lineRule="exact"/>
        <w:ind w:left="0" w:leftChars="0" w:firstLine="0" w:firstLineChars="0"/>
        <w:jc w:val="left"/>
        <w:textAlignment w:val="auto"/>
        <w:rPr>
          <w:rFonts w:cstheme="minorBidi"/>
          <w:sz w:val="24"/>
          <w:szCs w:val="24"/>
        </w:rPr>
      </w:pPr>
      <w:r>
        <w:rPr>
          <w:rFonts w:hint="eastAsia"/>
          <w:sz w:val="24"/>
        </w:rPr>
        <w:t>第五部分附表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keepNext w:val="0"/>
        <w:keepLines w:val="0"/>
        <w:pageBreakBefore w:val="0"/>
        <w:widowControl/>
        <w:kinsoku/>
        <w:wordWrap/>
        <w:overflowPunct/>
        <w:topLinePunct w:val="0"/>
        <w:autoSpaceDE/>
        <w:autoSpaceDN/>
        <w:bidi w:val="0"/>
        <w:spacing w:line="560" w:lineRule="exact"/>
        <w:ind w:left="0" w:leftChars="0" w:firstLine="0" w:firstLineChars="0"/>
        <w:jc w:val="left"/>
        <w:textAlignment w:val="auto"/>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ageBreakBefore w:val="0"/>
        <w:kinsoku/>
        <w:wordWrap/>
        <w:overflowPunct/>
        <w:topLinePunct w:val="0"/>
        <w:autoSpaceDE/>
        <w:autoSpaceDN/>
        <w:bidi w:val="0"/>
        <w:spacing w:before="0" w:after="0" w:line="560" w:lineRule="exact"/>
        <w:ind w:firstLine="880" w:firstLineChars="200"/>
        <w:jc w:val="center"/>
        <w:textAlignment w:val="auto"/>
        <w:outlineLvl w:val="9"/>
        <w:rPr>
          <w:rStyle w:val="24"/>
          <w:rFonts w:ascii="黑体" w:hAnsi="黑体" w:eastAsia="黑体"/>
          <w:b/>
          <w:bCs w:val="0"/>
        </w:rPr>
      </w:pPr>
      <w:r>
        <w:rPr>
          <w:rStyle w:val="24"/>
          <w:rFonts w:hint="eastAsia" w:ascii="黑体" w:hAnsi="黑体" w:eastAsia="黑体"/>
          <w:b w:val="0"/>
          <w:bCs w:val="0"/>
        </w:rPr>
        <w:t>第一部分 部门概况</w:t>
      </w:r>
      <w:bookmarkEnd w:id="12"/>
      <w:bookmarkEnd w:id="13"/>
    </w:p>
    <w:p>
      <w:pPr>
        <w:pageBreakBefore w:val="0"/>
        <w:widowControl/>
        <w:kinsoku/>
        <w:wordWrap/>
        <w:overflowPunct/>
        <w:topLinePunct w:val="0"/>
        <w:autoSpaceDE/>
        <w:autoSpaceDN/>
        <w:bidi w:val="0"/>
        <w:spacing w:line="560" w:lineRule="exact"/>
        <w:ind w:firstLine="640" w:firstLineChars="200"/>
        <w:jc w:val="both"/>
        <w:textAlignment w:val="auto"/>
        <w:outlineLvl w:val="9"/>
        <w:rPr>
          <w:rFonts w:ascii="黑体" w:eastAsia="黑体"/>
          <w:sz w:val="32"/>
          <w:szCs w:val="32"/>
        </w:rPr>
      </w:pPr>
    </w:p>
    <w:p>
      <w:pPr>
        <w:pageBreakBefore w:val="0"/>
        <w:kinsoku/>
        <w:wordWrap/>
        <w:overflowPunct/>
        <w:topLinePunct w:val="0"/>
        <w:autoSpaceDE/>
        <w:autoSpaceDN/>
        <w:bidi w:val="0"/>
        <w:spacing w:before="0" w:after="0" w:line="560" w:lineRule="exact"/>
        <w:ind w:firstLine="640" w:firstLineChars="200"/>
        <w:jc w:val="both"/>
        <w:textAlignment w:val="auto"/>
        <w:outlineLvl w:val="9"/>
        <w:rPr>
          <w:rStyle w:val="25"/>
          <w:rFonts w:ascii="仿宋" w:hAnsi="仿宋" w:eastAsia="仿宋"/>
          <w:b w:val="0"/>
          <w:bCs w:val="0"/>
        </w:rPr>
      </w:pPr>
      <w:bookmarkStart w:id="14" w:name="_Toc15377197"/>
      <w:bookmarkStart w:id="15" w:name="_Toc15396600"/>
      <w:r>
        <w:rPr>
          <w:rStyle w:val="25"/>
          <w:rFonts w:hint="eastAsia" w:ascii="黑体" w:hAnsi="黑体" w:eastAsia="黑体"/>
          <w:b w:val="0"/>
          <w:bCs w:val="0"/>
        </w:rPr>
        <w:t>一、基本职能及主要工作</w:t>
      </w:r>
      <w:bookmarkEnd w:id="14"/>
      <w:bookmarkEnd w:id="15"/>
    </w:p>
    <w:p>
      <w:pPr>
        <w:pStyle w:val="2"/>
        <w:pageBreakBefore w:val="0"/>
        <w:kinsoku/>
        <w:wordWrap/>
        <w:overflowPunct/>
        <w:topLinePunct w:val="0"/>
        <w:autoSpaceDE/>
        <w:autoSpaceDN/>
        <w:bidi w:val="0"/>
        <w:adjustRightInd w:val="0"/>
        <w:spacing w:beforeLines="0" w:line="560" w:lineRule="exact"/>
        <w:ind w:firstLine="643" w:firstLineChars="200"/>
        <w:jc w:val="both"/>
        <w:textAlignment w:val="auto"/>
        <w:outlineLvl w:val="9"/>
        <w:rPr>
          <w:rFonts w:hint="default" w:ascii="Times New Roman" w:hAnsi="Times New Roman" w:eastAsia="楷体_GB2312" w:cs="Times New Roman"/>
          <w:b/>
          <w:sz w:val="32"/>
          <w:highlight w:val="none"/>
        </w:rPr>
      </w:pPr>
      <w:bookmarkStart w:id="16" w:name="_Toc15378445"/>
      <w:bookmarkStart w:id="17" w:name="_Toc15377198"/>
      <w:r>
        <w:rPr>
          <w:rFonts w:hint="default" w:ascii="Times New Roman" w:hAnsi="Times New Roman" w:eastAsia="楷体_GB2312" w:cs="Times New Roman"/>
          <w:b/>
          <w:sz w:val="32"/>
          <w:highlight w:val="none"/>
          <w:lang w:eastAsia="zh-CN"/>
        </w:rPr>
        <w:t>（一）</w:t>
      </w:r>
      <w:r>
        <w:rPr>
          <w:rFonts w:hint="default" w:ascii="Times New Roman" w:hAnsi="Times New Roman" w:eastAsia="楷体_GB2312" w:cs="Times New Roman"/>
          <w:b/>
          <w:sz w:val="32"/>
          <w:highlight w:val="none"/>
        </w:rPr>
        <w:t>基本职能</w:t>
      </w:r>
    </w:p>
    <w:p>
      <w:pPr>
        <w:pStyle w:val="2"/>
        <w:pageBreakBefore w:val="0"/>
        <w:kinsoku/>
        <w:wordWrap/>
        <w:overflowPunct/>
        <w:topLinePunct w:val="0"/>
        <w:autoSpaceDE/>
        <w:autoSpaceDN/>
        <w:bidi w:val="0"/>
        <w:adjustRightInd w:val="0"/>
        <w:spacing w:beforeLines="0" w:line="560" w:lineRule="exact"/>
        <w:ind w:firstLine="643" w:firstLineChars="200"/>
        <w:jc w:val="both"/>
        <w:textAlignment w:val="auto"/>
        <w:outlineLvl w:val="9"/>
        <w:rPr>
          <w:rFonts w:hint="eastAsia" w:ascii="Times New Roman" w:hAnsi="Times New Roman" w:cs="Times New Roman"/>
          <w:b/>
          <w:bCs w:val="0"/>
          <w:sz w:val="32"/>
          <w:szCs w:val="32"/>
          <w:highlight w:val="none"/>
          <w:lang w:eastAsia="zh-CN"/>
        </w:rPr>
      </w:pPr>
      <w:r>
        <w:rPr>
          <w:rFonts w:hint="eastAsia" w:ascii="Times New Roman" w:hAnsi="Times New Roman" w:cs="Times New Roman"/>
          <w:b/>
          <w:bCs w:val="0"/>
          <w:sz w:val="32"/>
          <w:szCs w:val="32"/>
          <w:highlight w:val="none"/>
          <w:lang w:val="en-US" w:eastAsia="zh-CN"/>
        </w:rPr>
        <w:t>泸县百和镇人民政府</w:t>
      </w:r>
      <w:r>
        <w:rPr>
          <w:rFonts w:hint="default" w:ascii="Times New Roman" w:hAnsi="Times New Roman" w:eastAsia="仿宋_GB2312" w:cs="Times New Roman"/>
          <w:b/>
          <w:bCs w:val="0"/>
          <w:sz w:val="32"/>
          <w:szCs w:val="32"/>
          <w:highlight w:val="none"/>
        </w:rPr>
        <w:t>职能简介</w:t>
      </w:r>
      <w:r>
        <w:rPr>
          <w:rFonts w:hint="eastAsia" w:ascii="Times New Roman" w:hAnsi="Times New Roman" w:cs="Times New Roman"/>
          <w:b/>
          <w:bCs w:val="0"/>
          <w:sz w:val="32"/>
          <w:szCs w:val="32"/>
          <w:highlight w:val="none"/>
          <w:lang w:eastAsia="zh-CN"/>
        </w:rPr>
        <w:t>：</w:t>
      </w:r>
    </w:p>
    <w:p>
      <w:pPr>
        <w:pStyle w:val="2"/>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1、贯彻执行党和国家的路线方针、政策、法律和法规，以及上级机关决定、命令，执行本级人民代表大会的各项决议，研究并制定适合本镇实际的具体政策和措施。</w:t>
      </w:r>
    </w:p>
    <w:p>
      <w:pPr>
        <w:pStyle w:val="2"/>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2、组织制订全镇经济社会发展的中长期规划，编制经济发展总体布局和产业布局。制定和组织实施全镇农业、农村、社区等城市化建设的规划和措施。</w:t>
      </w:r>
    </w:p>
    <w:p>
      <w:pPr>
        <w:pStyle w:val="2"/>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3、负责全镇社会事务管理，基层政权建设和组织建设。负责经济建设，精神文明建设，新农村新社区建设和公共服务设施建设。</w:t>
      </w:r>
    </w:p>
    <w:p>
      <w:pPr>
        <w:pStyle w:val="2"/>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4、负责辖区城乡统筹改革和发展，加快推进农房改造和集聚，大力推进农业结构调整，加快推进农业转型升级，做大做强优势特色产业，加强扶贫开发和公共服务。</w:t>
      </w:r>
    </w:p>
    <w:p>
      <w:pPr>
        <w:pStyle w:val="2"/>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5、加强社会治安综合治理和公共安全，建立和健全群防群治网络，增强信访和矛盾纠纷调解处置能力，维护社会稳定。</w:t>
      </w:r>
    </w:p>
    <w:p>
      <w:pPr>
        <w:pStyle w:val="2"/>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6、管理行政区域内的教育、科学、文化、卫生、体育事业和财政、民政、交通、宗教、规划、土地、公安、司法、人口计生、流动人口、安全生产、生态保护、节能环保等各项行政工作。</w:t>
      </w:r>
    </w:p>
    <w:p>
      <w:pPr>
        <w:pStyle w:val="2"/>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7、负责配合协助行政区域内行政执法和部门委托授权的行政执法。</w:t>
      </w:r>
    </w:p>
    <w:p>
      <w:pPr>
        <w:pStyle w:val="2"/>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8、负责辖区绩效考核，新社会组织的管理。</w:t>
      </w:r>
    </w:p>
    <w:p>
      <w:pPr>
        <w:pStyle w:val="2"/>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9、推进民主法制建设，指导村、社区等自治组织建设，维护群众合法权益。</w:t>
      </w:r>
    </w:p>
    <w:bookmarkEnd w:id="16"/>
    <w:bookmarkEnd w:id="17"/>
    <w:p>
      <w:pPr>
        <w:pStyle w:val="2"/>
        <w:pageBreakBefore w:val="0"/>
        <w:kinsoku/>
        <w:wordWrap/>
        <w:overflowPunct/>
        <w:topLinePunct w:val="0"/>
        <w:autoSpaceDE/>
        <w:autoSpaceDN/>
        <w:bidi w:val="0"/>
        <w:adjustRightInd w:val="0"/>
        <w:snapToGrid w:val="0"/>
        <w:spacing w:beforeLines="0" w:line="560" w:lineRule="exact"/>
        <w:ind w:firstLine="643" w:firstLineChars="200"/>
        <w:jc w:val="both"/>
        <w:textAlignment w:val="auto"/>
        <w:outlineLvl w:val="9"/>
        <w:rPr>
          <w:rFonts w:hint="eastAsia" w:ascii="仿宋" w:hAnsi="仿宋" w:eastAsia="仿宋"/>
          <w:bCs/>
          <w:sz w:val="32"/>
          <w:szCs w:val="32"/>
        </w:rPr>
      </w:pPr>
      <w:bookmarkStart w:id="18" w:name="_Toc15378446"/>
      <w:bookmarkStart w:id="19" w:name="_Toc15377199"/>
      <w:r>
        <w:rPr>
          <w:rFonts w:hint="eastAsia" w:ascii="Times New Roman" w:hAnsi="Times New Roman" w:eastAsia="楷体_GB2312" w:cs="Times New Roman"/>
          <w:b/>
          <w:sz w:val="32"/>
          <w:highlight w:val="none"/>
        </w:rPr>
        <w:t>（二）</w:t>
      </w:r>
      <w:r>
        <w:rPr>
          <w:rFonts w:hint="default" w:ascii="Times New Roman" w:hAnsi="Times New Roman" w:eastAsia="楷体_GB2312" w:cs="Times New Roman"/>
          <w:b/>
          <w:sz w:val="32"/>
          <w:highlight w:val="none"/>
        </w:rPr>
        <w:t>20</w:t>
      </w:r>
      <w:r>
        <w:rPr>
          <w:rFonts w:hint="eastAsia" w:ascii="Times New Roman" w:hAnsi="Times New Roman" w:eastAsia="楷体_GB2312" w:cs="Times New Roman"/>
          <w:b/>
          <w:sz w:val="32"/>
          <w:highlight w:val="none"/>
        </w:rPr>
        <w:t>21年重点工作完成情况</w:t>
      </w:r>
      <w:r>
        <w:rPr>
          <w:rFonts w:hint="eastAsia" w:ascii="仿宋" w:hAnsi="仿宋" w:eastAsia="仿宋"/>
          <w:bCs/>
          <w:sz w:val="32"/>
          <w:szCs w:val="32"/>
        </w:rPr>
        <w:t>。</w:t>
      </w:r>
      <w:bookmarkEnd w:id="18"/>
      <w:bookmarkEnd w:id="19"/>
    </w:p>
    <w:p>
      <w:pPr>
        <w:pStyle w:val="2"/>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积极培植财源，强化税收征管，努力完成全年财政预算收支任务。</w:t>
      </w:r>
    </w:p>
    <w:p>
      <w:pPr>
        <w:pStyle w:val="2"/>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强化财政资金管理,确保工资和重点支出资金的需求。</w:t>
      </w:r>
    </w:p>
    <w:p>
      <w:pPr>
        <w:pStyle w:val="2"/>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积极向上争取各项资金，促进农村基础设施建设。</w:t>
      </w:r>
    </w:p>
    <w:p>
      <w:pPr>
        <w:pStyle w:val="2"/>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 xml:space="preserve">认真落实各项财政补贴政策。 </w:t>
      </w:r>
    </w:p>
    <w:p>
      <w:pPr>
        <w:pStyle w:val="2"/>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切实推进扶贫工作。</w:t>
      </w:r>
    </w:p>
    <w:p>
      <w:pPr>
        <w:pStyle w:val="2"/>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以规范收支为重点，加强了村级财务管理。</w:t>
      </w:r>
    </w:p>
    <w:p>
      <w:pPr>
        <w:pStyle w:val="2"/>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 xml:space="preserve">认真落实物价政策，加强涉农收费管理。 </w:t>
      </w:r>
    </w:p>
    <w:p>
      <w:pPr>
        <w:pageBreakBefore w:val="0"/>
        <w:kinsoku/>
        <w:wordWrap/>
        <w:overflowPunct/>
        <w:topLinePunct w:val="0"/>
        <w:autoSpaceDE/>
        <w:autoSpaceDN/>
        <w:bidi w:val="0"/>
        <w:spacing w:before="0" w:after="0" w:line="560" w:lineRule="exact"/>
        <w:ind w:firstLine="640" w:firstLineChars="200"/>
        <w:jc w:val="both"/>
        <w:textAlignment w:val="auto"/>
        <w:outlineLvl w:val="9"/>
        <w:rPr>
          <w:rStyle w:val="25"/>
          <w:b w:val="0"/>
          <w:bCs w:val="0"/>
        </w:rPr>
      </w:pPr>
      <w:bookmarkStart w:id="20" w:name="_Toc15377200"/>
      <w:bookmarkStart w:id="21" w:name="_Toc15396601"/>
      <w:r>
        <w:rPr>
          <w:rStyle w:val="25"/>
          <w:rFonts w:hint="eastAsia" w:ascii="黑体" w:hAnsi="黑体" w:eastAsia="黑体"/>
          <w:b w:val="0"/>
          <w:bCs w:val="0"/>
        </w:rPr>
        <w:t>二、机构设置</w:t>
      </w:r>
      <w:bookmarkEnd w:id="20"/>
      <w:bookmarkEnd w:id="21"/>
    </w:p>
    <w:p>
      <w:pPr>
        <w:pStyle w:val="2"/>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ascii="仿宋" w:hAnsi="仿宋" w:eastAsia="仿宋"/>
          <w:sz w:val="32"/>
          <w:szCs w:val="32"/>
        </w:rPr>
      </w:pPr>
      <w:r>
        <w:rPr>
          <w:rFonts w:hint="eastAsia" w:ascii="Times New Roman" w:hAnsi="Times New Roman" w:cs="Times New Roman"/>
          <w:b w:val="0"/>
          <w:bCs/>
          <w:sz w:val="32"/>
          <w:szCs w:val="32"/>
          <w:highlight w:val="none"/>
          <w:lang w:val="en-US" w:eastAsia="zh-CN"/>
        </w:rPr>
        <w:t>泸县百和镇人民政府</w:t>
      </w:r>
      <w:r>
        <w:rPr>
          <w:rFonts w:hint="default" w:ascii="Times New Roman" w:hAnsi="Times New Roman" w:eastAsia="仿宋_GB2312" w:cs="Times New Roman"/>
          <w:b w:val="0"/>
          <w:bCs/>
          <w:sz w:val="32"/>
          <w:szCs w:val="32"/>
          <w:highlight w:val="none"/>
          <w:lang w:eastAsia="zh-CN"/>
        </w:rPr>
        <w:t>下属一级预算单位</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个，其中行政单位</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个、参照公务员法管理的事业单位</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个、其他事业单位</w:t>
      </w:r>
      <w:r>
        <w:rPr>
          <w:rFonts w:hint="eastAsia" w:ascii="Times New Roman" w:hAnsi="Times New Roman" w:cs="Times New Roman"/>
          <w:b w:val="0"/>
          <w:bCs/>
          <w:sz w:val="32"/>
          <w:szCs w:val="32"/>
          <w:highlight w:val="none"/>
          <w:lang w:val="en-US" w:eastAsia="zh-CN"/>
        </w:rPr>
        <w:t>7</w:t>
      </w:r>
      <w:r>
        <w:rPr>
          <w:rFonts w:hint="default" w:ascii="Times New Roman" w:hAnsi="Times New Roman" w:eastAsia="仿宋_GB2312" w:cs="Times New Roman"/>
          <w:b w:val="0"/>
          <w:bCs/>
          <w:sz w:val="32"/>
          <w:szCs w:val="32"/>
          <w:highlight w:val="none"/>
          <w:lang w:eastAsia="zh-CN"/>
        </w:rPr>
        <w:t>个，主要包括</w:t>
      </w:r>
      <w:r>
        <w:rPr>
          <w:rFonts w:hint="eastAsia" w:ascii="Times New Roman" w:hAnsi="Times New Roman" w:cs="Times New Roman"/>
          <w:b w:val="0"/>
          <w:bCs/>
          <w:sz w:val="32"/>
          <w:szCs w:val="32"/>
          <w:highlight w:val="none"/>
          <w:lang w:val="en-US" w:eastAsia="zh-CN"/>
        </w:rPr>
        <w:t>泸县百和镇便民服务中心、泸县百和镇中心幼儿园、泸县百和镇百和中心小学校、泸县百和镇百和初级中学校、泸县百和镇五通中心小学校、泸县百和镇百和初级中学校、泸县百和镇土主学校。</w:t>
      </w:r>
    </w:p>
    <w:p>
      <w:pPr>
        <w:pStyle w:val="2"/>
        <w:pageBreakBefore w:val="0"/>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百和镇</w:t>
      </w:r>
      <w:r>
        <w:rPr>
          <w:rFonts w:hint="eastAsia" w:ascii="仿宋" w:hAnsi="仿宋" w:eastAsia="仿宋"/>
          <w:sz w:val="32"/>
          <w:szCs w:val="32"/>
        </w:rPr>
        <w:t>2021年度部门决算编制范围的二级预算单位包括：</w:t>
      </w:r>
    </w:p>
    <w:p>
      <w:pPr>
        <w:pStyle w:val="2"/>
        <w:pageBreakBefore w:val="0"/>
        <w:numPr>
          <w:ilvl w:val="0"/>
          <w:numId w:val="0"/>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val="en-US" w:eastAsia="zh-CN"/>
        </w:rPr>
      </w:pPr>
      <w:bookmarkStart w:id="22" w:name="_Toc15306276"/>
      <w:bookmarkStart w:id="23" w:name="_Toc15377202"/>
      <w:bookmarkStart w:id="24" w:name="_Toc15377433"/>
      <w:bookmarkStart w:id="25" w:name="_Toc15378449"/>
      <w:r>
        <w:rPr>
          <w:rFonts w:hint="eastAsia" w:ascii="仿宋" w:hAnsi="仿宋" w:eastAsia="仿宋"/>
          <w:sz w:val="32"/>
          <w:szCs w:val="32"/>
          <w:lang w:val="en-US" w:eastAsia="zh-CN"/>
        </w:rPr>
        <w:t>1、</w:t>
      </w:r>
      <w:r>
        <w:rPr>
          <w:rFonts w:hint="eastAsia" w:ascii="仿宋" w:hAnsi="仿宋" w:eastAsia="仿宋"/>
          <w:sz w:val="32"/>
          <w:szCs w:val="32"/>
          <w:lang w:eastAsia="zh-CN"/>
        </w:rPr>
        <w:t>行政单位：</w:t>
      </w:r>
      <w:bookmarkEnd w:id="22"/>
      <w:bookmarkEnd w:id="23"/>
      <w:bookmarkEnd w:id="24"/>
      <w:bookmarkEnd w:id="25"/>
      <w:bookmarkStart w:id="26" w:name="_Toc15377203"/>
      <w:bookmarkStart w:id="27" w:name="_Toc15377434"/>
      <w:bookmarkStart w:id="28" w:name="_Toc15378450"/>
      <w:bookmarkStart w:id="29" w:name="_Toc15306277"/>
      <w:r>
        <w:rPr>
          <w:rFonts w:hint="eastAsia" w:ascii="Times New Roman" w:hAnsi="Times New Roman" w:cs="Times New Roman"/>
          <w:b w:val="0"/>
          <w:bCs/>
          <w:sz w:val="32"/>
          <w:szCs w:val="32"/>
          <w:highlight w:val="none"/>
          <w:lang w:val="en-US" w:eastAsia="zh-CN"/>
        </w:rPr>
        <w:t>泸县百和镇人民政府</w:t>
      </w:r>
      <w:bookmarkEnd w:id="26"/>
      <w:bookmarkEnd w:id="27"/>
      <w:bookmarkEnd w:id="28"/>
      <w:bookmarkEnd w:id="29"/>
    </w:p>
    <w:p>
      <w:pPr>
        <w:pStyle w:val="2"/>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ascii="仿宋" w:hAnsi="仿宋" w:eastAsia="仿宋"/>
          <w:kern w:val="0"/>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事业单位：</w:t>
      </w:r>
      <w:r>
        <w:rPr>
          <w:rFonts w:hint="eastAsia" w:ascii="Times New Roman" w:hAnsi="Times New Roman" w:cs="Times New Roman"/>
          <w:b w:val="0"/>
          <w:bCs/>
          <w:sz w:val="32"/>
          <w:szCs w:val="32"/>
          <w:highlight w:val="none"/>
          <w:lang w:val="en-US" w:eastAsia="zh-CN"/>
        </w:rPr>
        <w:t>泸县百和镇便民服务中心</w:t>
      </w:r>
      <w:r>
        <w:rPr>
          <w:rFonts w:hint="eastAsia" w:ascii="Times New Roman" w:cs="Times New Roman"/>
          <w:b w:val="0"/>
          <w:bCs/>
          <w:sz w:val="32"/>
          <w:szCs w:val="32"/>
          <w:highlight w:val="none"/>
          <w:lang w:val="en-US" w:eastAsia="zh-CN"/>
        </w:rPr>
        <w:t>、</w:t>
      </w:r>
      <w:r>
        <w:rPr>
          <w:rFonts w:hint="eastAsia" w:ascii="Times New Roman" w:hAnsi="Times New Roman" w:cs="Times New Roman"/>
          <w:b w:val="0"/>
          <w:bCs/>
          <w:sz w:val="32"/>
          <w:szCs w:val="32"/>
          <w:highlight w:val="none"/>
          <w:lang w:val="en-US" w:eastAsia="zh-CN"/>
        </w:rPr>
        <w:t>泸县百和镇中心幼儿园、泸县百和镇百和中心小学校、泸县百和镇百和初级中学校、泸县百和镇五通中心小学校、泸县百和镇百和初级中学校、泸县百和镇土主学校。</w:t>
      </w:r>
      <w:r>
        <w:rPr>
          <w:rFonts w:ascii="仿宋" w:hAnsi="仿宋" w:eastAsia="仿宋"/>
          <w:sz w:val="32"/>
          <w:szCs w:val="32"/>
        </w:rPr>
        <w:br w:type="page"/>
      </w:r>
    </w:p>
    <w:p>
      <w:pPr>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Style w:val="24"/>
          <w:rFonts w:ascii="黑体" w:hAnsi="黑体" w:eastAsia="黑体"/>
          <w:b w:val="0"/>
          <w:bCs/>
        </w:rPr>
      </w:pPr>
      <w:bookmarkStart w:id="30" w:name="_Toc15377204"/>
      <w:bookmarkStart w:id="31" w:name="_Toc15396602"/>
      <w:r>
        <w:rPr>
          <w:rStyle w:val="24"/>
          <w:rFonts w:hint="eastAsia" w:ascii="黑体" w:hAnsi="黑体" w:eastAsia="黑体"/>
          <w:b w:val="0"/>
          <w:bCs/>
        </w:rPr>
        <w:t>第二部分 2021年度部门决算情况说明</w:t>
      </w:r>
      <w:bookmarkEnd w:id="30"/>
      <w:bookmarkEnd w:id="31"/>
    </w:p>
    <w:p>
      <w:pPr>
        <w:pageBreakBefore w:val="0"/>
        <w:widowControl w:val="0"/>
        <w:kinsoku/>
        <w:wordWrap/>
        <w:overflowPunct/>
        <w:topLinePunct w:val="0"/>
        <w:autoSpaceDE/>
        <w:autoSpaceDN/>
        <w:bidi w:val="0"/>
        <w:adjustRightInd/>
        <w:snapToGrid/>
        <w:spacing w:line="560" w:lineRule="exact"/>
        <w:ind w:left="0" w:right="0" w:firstLine="420" w:firstLineChars="200"/>
        <w:jc w:val="both"/>
        <w:textAlignment w:val="auto"/>
        <w:outlineLvl w:val="9"/>
      </w:pPr>
    </w:p>
    <w:p>
      <w:pPr>
        <w:pStyle w:val="23"/>
        <w:pageBreakBefore w:val="0"/>
        <w:widowControl w:val="0"/>
        <w:numPr>
          <w:ilvl w:val="0"/>
          <w:numId w:val="2"/>
        </w:numPr>
        <w:kinsoku/>
        <w:wordWrap/>
        <w:overflowPunct/>
        <w:topLinePunct w:val="0"/>
        <w:autoSpaceDE/>
        <w:autoSpaceDN/>
        <w:bidi w:val="0"/>
        <w:adjustRightInd/>
        <w:snapToGrid/>
        <w:spacing w:line="560" w:lineRule="exact"/>
        <w:ind w:left="0" w:right="0" w:firstLine="640" w:firstLineChars="200"/>
        <w:jc w:val="both"/>
        <w:textAlignment w:val="auto"/>
        <w:outlineLvl w:val="9"/>
        <w:rPr>
          <w:rStyle w:val="25"/>
          <w:rFonts w:ascii="黑体" w:hAnsi="黑体" w:eastAsia="黑体"/>
          <w:b w:val="0"/>
        </w:rPr>
      </w:pPr>
      <w:bookmarkStart w:id="32" w:name="_Toc15396603"/>
      <w:bookmarkStart w:id="33"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32"/>
      <w:bookmarkEnd w:id="33"/>
    </w:p>
    <w:p>
      <w:pPr>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rPr>
        <w:t>2021年度收</w:t>
      </w:r>
      <w:r>
        <w:rPr>
          <w:rFonts w:hint="eastAsia" w:ascii="仿宋" w:hAnsi="仿宋" w:eastAsia="仿宋"/>
          <w:sz w:val="32"/>
          <w:szCs w:val="32"/>
          <w:lang w:eastAsia="zh-CN"/>
        </w:rPr>
        <w:t>入、支出</w:t>
      </w:r>
      <w:r>
        <w:rPr>
          <w:rFonts w:hint="eastAsia" w:ascii="仿宋" w:hAnsi="仿宋" w:eastAsia="仿宋"/>
          <w:sz w:val="32"/>
          <w:szCs w:val="32"/>
        </w:rPr>
        <w:t>总计6,238.99万元。与2020年相比，收总计减少</w:t>
      </w:r>
      <w:r>
        <w:rPr>
          <w:rFonts w:hint="eastAsia" w:ascii="仿宋" w:hAnsi="仿宋" w:eastAsia="仿宋"/>
          <w:sz w:val="32"/>
          <w:szCs w:val="32"/>
          <w:lang w:val="en-US" w:eastAsia="zh-CN"/>
        </w:rPr>
        <w:t>780.07</w:t>
      </w:r>
      <w:r>
        <w:rPr>
          <w:rFonts w:hint="eastAsia" w:ascii="仿宋" w:hAnsi="仿宋" w:eastAsia="仿宋"/>
          <w:sz w:val="32"/>
          <w:szCs w:val="32"/>
        </w:rPr>
        <w:t>万元，下降</w:t>
      </w:r>
      <w:r>
        <w:rPr>
          <w:rFonts w:hint="eastAsia" w:ascii="仿宋" w:hAnsi="仿宋" w:eastAsia="仿宋"/>
          <w:sz w:val="32"/>
          <w:szCs w:val="32"/>
          <w:lang w:val="en-US" w:eastAsia="zh-CN"/>
        </w:rPr>
        <w:t>11.11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本年度收入、支出减小。</w:t>
      </w:r>
    </w:p>
    <w:p>
      <w:pPr>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 w:hAnsi="仿宋" w:eastAsia="仿宋"/>
          <w:sz w:val="32"/>
          <w:szCs w:val="32"/>
        </w:rPr>
      </w:pPr>
    </w:p>
    <w:p>
      <w:pPr>
        <w:pStyle w:val="2"/>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080000" cy="4048125"/>
            <wp:effectExtent l="0" t="0" r="6350" b="9525"/>
            <wp:docPr id="1" name="图表 1" descr="单位：万元" title="收入、支出总计变动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pPr>
    </w:p>
    <w:p>
      <w:pPr>
        <w:pStyle w:val="23"/>
        <w:numPr>
          <w:ilvl w:val="0"/>
          <w:numId w:val="2"/>
        </w:numPr>
        <w:spacing w:line="600" w:lineRule="exact"/>
        <w:ind w:firstLineChars="0"/>
        <w:outlineLvl w:val="1"/>
        <w:rPr>
          <w:rStyle w:val="25"/>
          <w:rFonts w:ascii="黑体" w:hAnsi="黑体" w:eastAsia="黑体"/>
          <w:b w:val="0"/>
        </w:rPr>
      </w:pPr>
      <w:bookmarkStart w:id="34" w:name="_Toc15377206"/>
      <w:bookmarkStart w:id="35" w:name="_Toc15396604"/>
      <w:r>
        <w:rPr>
          <w:rFonts w:hint="eastAsia" w:ascii="黑体" w:hAnsi="黑体" w:eastAsia="黑体"/>
          <w:sz w:val="32"/>
          <w:szCs w:val="32"/>
        </w:rPr>
        <w:t>收</w:t>
      </w:r>
      <w:r>
        <w:rPr>
          <w:rStyle w:val="25"/>
          <w:rFonts w:hint="eastAsia" w:ascii="黑体" w:hAnsi="黑体" w:eastAsia="黑体"/>
          <w:b w:val="0"/>
        </w:rPr>
        <w:t>入决算情况说明</w:t>
      </w:r>
      <w:bookmarkEnd w:id="34"/>
      <w:bookmarkEnd w:id="35"/>
    </w:p>
    <w:p>
      <w:pPr>
        <w:spacing w:line="600" w:lineRule="exact"/>
        <w:ind w:firstLine="640" w:firstLineChars="200"/>
        <w:outlineLvl w:val="1"/>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21年本年收入合计6,238.99万元，其中：一般公共预算财政拨款收入5,842.60万元，占</w:t>
      </w:r>
      <w:r>
        <w:rPr>
          <w:rFonts w:hint="eastAsia" w:ascii="仿宋" w:hAnsi="仿宋" w:eastAsia="仿宋"/>
          <w:sz w:val="32"/>
          <w:szCs w:val="32"/>
          <w:lang w:val="en-US" w:eastAsia="zh-CN"/>
        </w:rPr>
        <w:t>93.65</w:t>
      </w:r>
      <w:r>
        <w:rPr>
          <w:rFonts w:ascii="仿宋" w:hAnsi="仿宋" w:eastAsia="仿宋"/>
          <w:sz w:val="32"/>
          <w:szCs w:val="32"/>
        </w:rPr>
        <w:t>%</w:t>
      </w:r>
      <w:r>
        <w:rPr>
          <w:rFonts w:hint="eastAsia" w:ascii="仿宋" w:hAnsi="仿宋" w:eastAsia="仿宋"/>
          <w:sz w:val="32"/>
          <w:szCs w:val="32"/>
        </w:rPr>
        <w:t>；政府性基金预算财政拨款收入396.40万元，占</w:t>
      </w:r>
      <w:r>
        <w:rPr>
          <w:rFonts w:hint="eastAsia" w:ascii="仿宋" w:hAnsi="仿宋" w:eastAsia="仿宋"/>
          <w:sz w:val="32"/>
          <w:szCs w:val="32"/>
          <w:lang w:val="en-US" w:eastAsia="zh-CN"/>
        </w:rPr>
        <w:t>6.35</w:t>
      </w:r>
      <w:r>
        <w:rPr>
          <w:rFonts w:ascii="仿宋" w:hAnsi="仿宋" w:eastAsia="仿宋"/>
          <w:sz w:val="32"/>
          <w:szCs w:val="32"/>
        </w:rPr>
        <w:t>%</w:t>
      </w:r>
      <w:r>
        <w:rPr>
          <w:rFonts w:hint="eastAsia" w:ascii="仿宋" w:hAnsi="仿宋" w:eastAsia="仿宋"/>
          <w:sz w:val="32"/>
          <w:szCs w:val="32"/>
          <w:lang w:eastAsia="zh-CN"/>
        </w:rPr>
        <w:t>。</w:t>
      </w:r>
    </w:p>
    <w:p>
      <w:pPr>
        <w:pStyle w:val="2"/>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248920</wp:posOffset>
            </wp:positionH>
            <wp:positionV relativeFrom="paragraph">
              <wp:posOffset>55245</wp:posOffset>
            </wp:positionV>
            <wp:extent cx="4860925" cy="2619375"/>
            <wp:effectExtent l="6350" t="6350" r="9525" b="2222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jc w:val="both"/>
        <w:rPr>
          <w:rFonts w:hint="eastAsia" w:ascii="仿宋" w:hAnsi="仿宋" w:eastAsia="仿宋"/>
          <w:sz w:val="32"/>
          <w:szCs w:val="32"/>
        </w:rPr>
      </w:pP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（图2：收入决算结构图）</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outlineLvl w:val="9"/>
        <w:rPr>
          <w:rFonts w:hint="eastAsia"/>
          <w:lang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outlineLvl w:val="9"/>
        <w:rPr>
          <w:rStyle w:val="25"/>
          <w:rFonts w:ascii="黑体" w:hAnsi="黑体" w:eastAsia="黑体"/>
          <w:b w:val="0"/>
        </w:rPr>
      </w:pPr>
      <w:bookmarkStart w:id="36" w:name="_Toc15377207"/>
      <w:bookmarkStart w:id="37" w:name="_Toc15396605"/>
      <w:r>
        <w:rPr>
          <w:rFonts w:hint="eastAsia" w:ascii="黑体" w:hAnsi="黑体" w:eastAsia="黑体"/>
          <w:sz w:val="32"/>
          <w:szCs w:val="32"/>
          <w:lang w:eastAsia="zh-CN"/>
        </w:rPr>
        <w:t>三、</w:t>
      </w:r>
      <w:r>
        <w:rPr>
          <w:rFonts w:hint="eastAsia" w:ascii="黑体" w:hAnsi="黑体" w:eastAsia="黑体"/>
          <w:sz w:val="32"/>
          <w:szCs w:val="32"/>
        </w:rPr>
        <w:t>支</w:t>
      </w:r>
      <w:r>
        <w:rPr>
          <w:rStyle w:val="25"/>
          <w:rFonts w:hint="eastAsia" w:ascii="黑体" w:hAnsi="黑体" w:eastAsia="黑体"/>
          <w:b w:val="0"/>
        </w:rPr>
        <w:t>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21年本年支出合计6,238.99万元，其中：基本支出4</w:t>
      </w:r>
      <w:r>
        <w:rPr>
          <w:rFonts w:hint="eastAsia" w:ascii="仿宋" w:hAnsi="仿宋" w:eastAsia="仿宋"/>
          <w:sz w:val="32"/>
          <w:szCs w:val="32"/>
          <w:lang w:val="en-US" w:eastAsia="zh-CN"/>
        </w:rPr>
        <w:t>,</w:t>
      </w:r>
      <w:r>
        <w:rPr>
          <w:rFonts w:hint="eastAsia" w:ascii="仿宋" w:hAnsi="仿宋" w:eastAsia="仿宋"/>
          <w:sz w:val="32"/>
          <w:szCs w:val="32"/>
        </w:rPr>
        <w:t>718.27万元，占</w:t>
      </w:r>
      <w:r>
        <w:rPr>
          <w:rFonts w:hint="eastAsia" w:ascii="仿宋" w:hAnsi="仿宋" w:eastAsia="仿宋"/>
          <w:sz w:val="32"/>
          <w:szCs w:val="32"/>
          <w:lang w:val="en-US" w:eastAsia="zh-CN"/>
        </w:rPr>
        <w:t>75.63</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1,520.72</w:t>
      </w:r>
      <w:r>
        <w:rPr>
          <w:rFonts w:hint="eastAsia" w:ascii="仿宋" w:hAnsi="仿宋" w:eastAsia="仿宋"/>
          <w:sz w:val="32"/>
          <w:szCs w:val="32"/>
        </w:rPr>
        <w:t>万元，占</w:t>
      </w:r>
      <w:r>
        <w:rPr>
          <w:rFonts w:hint="eastAsia" w:ascii="仿宋" w:hAnsi="仿宋" w:eastAsia="仿宋"/>
          <w:sz w:val="32"/>
          <w:szCs w:val="32"/>
          <w:lang w:val="en-US" w:eastAsia="zh-CN"/>
        </w:rPr>
        <w:t>24.37</w:t>
      </w:r>
      <w:r>
        <w:rPr>
          <w:rFonts w:ascii="仿宋" w:hAnsi="仿宋" w:eastAsia="仿宋"/>
          <w:sz w:val="32"/>
          <w:szCs w:val="32"/>
        </w:rPr>
        <w:t>%</w:t>
      </w:r>
      <w:r>
        <w:rPr>
          <w:rFonts w:hint="eastAsia" w:ascii="仿宋" w:hAnsi="仿宋" w:eastAsia="仿宋"/>
          <w:sz w:val="32"/>
          <w:szCs w:val="32"/>
        </w:rPr>
        <w:t>。</w:t>
      </w:r>
    </w:p>
    <w:p>
      <w:pPr>
        <w:pStyle w:val="2"/>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713105</wp:posOffset>
            </wp:positionH>
            <wp:positionV relativeFrom="paragraph">
              <wp:posOffset>150495</wp:posOffset>
            </wp:positionV>
            <wp:extent cx="4013835" cy="2457450"/>
            <wp:effectExtent l="6350" t="6350" r="18415" b="1270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pPr>
    </w:p>
    <w:p>
      <w:pPr>
        <w:pStyle w:val="2"/>
      </w:pPr>
    </w:p>
    <w:p>
      <w:pPr>
        <w:pStyle w:val="2"/>
      </w:pPr>
    </w:p>
    <w:p>
      <w:pPr>
        <w:pStyle w:val="2"/>
      </w:pPr>
    </w:p>
    <w:p>
      <w:pPr>
        <w:pStyle w:val="2"/>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outlineLvl w:val="1"/>
        <w:rPr>
          <w:rFonts w:hint="eastAsia" w:ascii="黑体" w:hAnsi="黑体" w:eastAsia="黑体"/>
          <w:sz w:val="32"/>
          <w:szCs w:val="32"/>
        </w:rPr>
      </w:pPr>
      <w:bookmarkStart w:id="38" w:name="_Toc15396606"/>
      <w:bookmarkStart w:id="39" w:name="_Toc15377208"/>
    </w:p>
    <w:p>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8"/>
      <w:bookmarkEnd w:id="39"/>
    </w:p>
    <w:p>
      <w:pPr>
        <w:spacing w:line="60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rPr>
        <w:t>2021年度</w:t>
      </w:r>
      <w:r>
        <w:rPr>
          <w:rFonts w:hint="eastAsia" w:ascii="仿宋" w:hAnsi="仿宋" w:eastAsia="仿宋"/>
          <w:sz w:val="32"/>
          <w:szCs w:val="32"/>
          <w:lang w:eastAsia="zh-CN"/>
        </w:rPr>
        <w:t>财政拨款</w:t>
      </w:r>
      <w:r>
        <w:rPr>
          <w:rFonts w:hint="eastAsia" w:ascii="仿宋" w:hAnsi="仿宋" w:eastAsia="仿宋"/>
          <w:sz w:val="32"/>
          <w:szCs w:val="32"/>
        </w:rPr>
        <w:t>收</w:t>
      </w:r>
      <w:r>
        <w:rPr>
          <w:rFonts w:hint="eastAsia" w:ascii="仿宋" w:hAnsi="仿宋" w:eastAsia="仿宋"/>
          <w:sz w:val="32"/>
          <w:szCs w:val="32"/>
          <w:lang w:eastAsia="zh-CN"/>
        </w:rPr>
        <w:t>入、支出</w:t>
      </w:r>
      <w:r>
        <w:rPr>
          <w:rFonts w:hint="eastAsia" w:ascii="仿宋" w:hAnsi="仿宋" w:eastAsia="仿宋"/>
          <w:sz w:val="32"/>
          <w:szCs w:val="32"/>
        </w:rPr>
        <w:t>总计6,238.99万元。与2020年相比，收总计减少</w:t>
      </w:r>
      <w:r>
        <w:rPr>
          <w:rFonts w:hint="eastAsia" w:ascii="仿宋" w:hAnsi="仿宋" w:eastAsia="仿宋"/>
          <w:sz w:val="32"/>
          <w:szCs w:val="32"/>
          <w:lang w:val="en-US" w:eastAsia="zh-CN"/>
        </w:rPr>
        <w:t>780.07</w:t>
      </w:r>
      <w:r>
        <w:rPr>
          <w:rFonts w:hint="eastAsia" w:ascii="仿宋" w:hAnsi="仿宋" w:eastAsia="仿宋"/>
          <w:sz w:val="32"/>
          <w:szCs w:val="32"/>
        </w:rPr>
        <w:t>万元，下降</w:t>
      </w:r>
      <w:r>
        <w:rPr>
          <w:rFonts w:hint="eastAsia" w:ascii="仿宋" w:hAnsi="仿宋" w:eastAsia="仿宋"/>
          <w:sz w:val="32"/>
          <w:szCs w:val="32"/>
          <w:lang w:val="en-US" w:eastAsia="zh-CN"/>
        </w:rPr>
        <w:t>11.11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本年度收入、支出减小。</w:t>
      </w:r>
    </w:p>
    <w:p>
      <w:pPr>
        <w:spacing w:line="600" w:lineRule="exact"/>
        <w:rPr>
          <w:rFonts w:ascii="仿宋" w:hAnsi="仿宋" w:eastAsia="仿宋"/>
          <w:sz w:val="32"/>
          <w:szCs w:val="32"/>
        </w:rPr>
      </w:pPr>
    </w:p>
    <w:p>
      <w:pPr>
        <w:pStyle w:val="2"/>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080000" cy="4151630"/>
            <wp:effectExtent l="4445" t="4445" r="20955" b="158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5"/>
          <w:rFonts w:ascii="黑体" w:hAnsi="黑体" w:eastAsia="黑体"/>
          <w:b w:val="0"/>
        </w:rPr>
      </w:pPr>
      <w:bookmarkStart w:id="40" w:name="_Toc15377209"/>
      <w:bookmarkStart w:id="41"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sz w:val="32"/>
          <w:szCs w:val="32"/>
        </w:rPr>
      </w:pPr>
      <w:bookmarkStart w:id="42" w:name="_Toc15377210"/>
      <w:r>
        <w:rPr>
          <w:rFonts w:hint="eastAsia" w:ascii="仿宋" w:hAnsi="仿宋" w:eastAsia="仿宋"/>
          <w:b/>
          <w:sz w:val="32"/>
          <w:szCs w:val="32"/>
        </w:rPr>
        <w:t>（一）一般公共预算财政拨款支出决算总体情况</w:t>
      </w:r>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5,842.6</w:t>
      </w:r>
      <w:r>
        <w:rPr>
          <w:rFonts w:hint="eastAsia" w:ascii="仿宋" w:hAnsi="仿宋" w:eastAsia="仿宋"/>
          <w:sz w:val="32"/>
          <w:szCs w:val="32"/>
        </w:rPr>
        <w:t>万元，占本年支出合计的</w:t>
      </w:r>
      <w:r>
        <w:rPr>
          <w:rFonts w:hint="eastAsia" w:ascii="仿宋" w:hAnsi="仿宋" w:eastAsia="仿宋"/>
          <w:sz w:val="32"/>
          <w:szCs w:val="32"/>
          <w:lang w:val="en-US" w:eastAsia="zh-CN"/>
        </w:rPr>
        <w:t>93.65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hint="eastAsia" w:ascii="仿宋" w:hAnsi="仿宋" w:eastAsia="仿宋"/>
          <w:sz w:val="32"/>
          <w:szCs w:val="32"/>
          <w:lang w:val="en-US" w:eastAsia="zh-CN"/>
        </w:rPr>
        <w:t>238.64</w:t>
      </w:r>
      <w:r>
        <w:rPr>
          <w:rFonts w:hint="eastAsia" w:ascii="仿宋" w:hAnsi="仿宋" w:eastAsia="仿宋"/>
          <w:sz w:val="32"/>
          <w:szCs w:val="32"/>
        </w:rPr>
        <w:t>万元，下降</w:t>
      </w:r>
      <w:r>
        <w:rPr>
          <w:rFonts w:hint="eastAsia" w:ascii="仿宋" w:hAnsi="仿宋" w:eastAsia="仿宋"/>
          <w:sz w:val="32"/>
          <w:szCs w:val="32"/>
          <w:lang w:val="en-US" w:eastAsia="zh-CN"/>
        </w:rPr>
        <w:t>3.92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本年支出减少。</w:t>
      </w:r>
    </w:p>
    <w:p>
      <w:pPr>
        <w:pStyle w:val="2"/>
        <w:jc w:val="center"/>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4004310" cy="3199765"/>
            <wp:effectExtent l="4445" t="4445" r="10795"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（图5：一般公共预算财政拨款支出决算变动情况）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5,842.60</w:t>
      </w:r>
      <w:r>
        <w:rPr>
          <w:rFonts w:hint="eastAsia" w:ascii="仿宋" w:hAnsi="仿宋" w:eastAsia="仿宋"/>
          <w:sz w:val="32"/>
          <w:szCs w:val="32"/>
        </w:rPr>
        <w:t>万元，主要用于以下方面</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b/>
          <w:sz w:val="32"/>
          <w:szCs w:val="32"/>
        </w:rPr>
        <w:t>一般公共服务（类）</w:t>
      </w:r>
      <w:r>
        <w:rPr>
          <w:rFonts w:hint="eastAsia" w:ascii="仿宋" w:hAnsi="仿宋" w:eastAsia="仿宋"/>
          <w:sz w:val="32"/>
          <w:szCs w:val="32"/>
        </w:rPr>
        <w:t>支出582.39万元，占</w:t>
      </w:r>
      <w:r>
        <w:rPr>
          <w:rFonts w:hint="eastAsia" w:ascii="仿宋" w:hAnsi="仿宋" w:eastAsia="仿宋"/>
          <w:sz w:val="32"/>
          <w:szCs w:val="32"/>
          <w:lang w:val="en-US" w:eastAsia="zh-CN"/>
        </w:rPr>
        <w:t>9.97</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b/>
          <w:sz w:val="32"/>
          <w:szCs w:val="32"/>
        </w:rPr>
        <w:t>教育支出（类）</w:t>
      </w:r>
      <w:r>
        <w:rPr>
          <w:rFonts w:hint="eastAsia" w:ascii="仿宋" w:hAnsi="仿宋" w:eastAsia="仿宋"/>
          <w:sz w:val="32"/>
          <w:szCs w:val="32"/>
        </w:rPr>
        <w:t>支出3</w:t>
      </w:r>
      <w:r>
        <w:rPr>
          <w:rFonts w:hint="eastAsia" w:ascii="仿宋" w:hAnsi="仿宋" w:eastAsia="仿宋"/>
          <w:sz w:val="32"/>
          <w:szCs w:val="32"/>
          <w:lang w:val="en-US" w:eastAsia="zh-CN"/>
        </w:rPr>
        <w:t>,</w:t>
      </w:r>
      <w:r>
        <w:rPr>
          <w:rFonts w:hint="eastAsia" w:ascii="仿宋" w:hAnsi="仿宋" w:eastAsia="仿宋"/>
          <w:sz w:val="32"/>
          <w:szCs w:val="32"/>
        </w:rPr>
        <w:t>438.91万元，占</w:t>
      </w:r>
      <w:r>
        <w:rPr>
          <w:rFonts w:hint="eastAsia" w:ascii="仿宋" w:hAnsi="仿宋" w:eastAsia="仿宋"/>
          <w:sz w:val="32"/>
          <w:szCs w:val="32"/>
          <w:lang w:val="en-US" w:eastAsia="zh-CN"/>
        </w:rPr>
        <w:t>58.86</w:t>
      </w:r>
      <w:r>
        <w:rPr>
          <w:rFonts w:ascii="仿宋" w:hAnsi="仿宋" w:eastAsia="仿宋"/>
          <w:sz w:val="32"/>
          <w:szCs w:val="32"/>
        </w:rPr>
        <w:t>%</w:t>
      </w:r>
      <w:r>
        <w:rPr>
          <w:rFonts w:hint="eastAsia" w:ascii="仿宋" w:hAnsi="仿宋" w:eastAsia="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b/>
          <w:kern w:val="2"/>
          <w:sz w:val="32"/>
          <w:szCs w:val="32"/>
          <w:lang w:val="en-US" w:eastAsia="zh-CN" w:bidi="ar-SA"/>
        </w:rPr>
        <w:t>科学技术（类）</w:t>
      </w:r>
      <w:r>
        <w:rPr>
          <w:rFonts w:hint="eastAsia" w:ascii="仿宋" w:hAnsi="仿宋" w:eastAsia="仿宋" w:cs="Times New Roman"/>
          <w:kern w:val="2"/>
          <w:sz w:val="32"/>
          <w:szCs w:val="32"/>
          <w:lang w:val="en-US" w:eastAsia="zh-CN" w:bidi="ar-SA"/>
        </w:rPr>
        <w:t>支出0.8万元，占0.0001%；</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b/>
          <w:bCs/>
          <w:sz w:val="32"/>
          <w:szCs w:val="32"/>
        </w:rPr>
        <w:t>文化旅游体育与传媒（类）</w:t>
      </w:r>
      <w:r>
        <w:rPr>
          <w:rFonts w:hint="eastAsia" w:ascii="仿宋" w:hAnsi="仿宋" w:eastAsia="仿宋"/>
          <w:sz w:val="32"/>
          <w:szCs w:val="32"/>
        </w:rPr>
        <w:t>支出30.12万元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lang w:val="en-US" w:eastAsia="zh-CN"/>
        </w:rPr>
        <w:t>0.52</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b/>
          <w:sz w:val="32"/>
          <w:szCs w:val="32"/>
        </w:rPr>
        <w:t>社会保障和就业（类）</w:t>
      </w:r>
      <w:r>
        <w:rPr>
          <w:rFonts w:hint="eastAsia" w:ascii="仿宋" w:hAnsi="仿宋" w:eastAsia="仿宋"/>
          <w:sz w:val="32"/>
          <w:szCs w:val="32"/>
        </w:rPr>
        <w:t>支出388.52万元，占</w:t>
      </w:r>
      <w:r>
        <w:rPr>
          <w:rFonts w:hint="eastAsia" w:ascii="仿宋" w:hAnsi="仿宋" w:eastAsia="仿宋"/>
          <w:sz w:val="32"/>
          <w:szCs w:val="32"/>
          <w:lang w:val="en-US" w:eastAsia="zh-CN"/>
        </w:rPr>
        <w:t>6.65</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b/>
          <w:bCs/>
          <w:sz w:val="32"/>
          <w:szCs w:val="32"/>
        </w:rPr>
        <w:t>卫生健康（类）</w:t>
      </w:r>
      <w:r>
        <w:rPr>
          <w:rFonts w:hint="eastAsia" w:ascii="仿宋" w:hAnsi="仿宋" w:eastAsia="仿宋"/>
          <w:sz w:val="32"/>
          <w:szCs w:val="32"/>
        </w:rPr>
        <w:t>支出150.96万元，占</w:t>
      </w:r>
      <w:r>
        <w:rPr>
          <w:rFonts w:hint="eastAsia" w:ascii="仿宋" w:hAnsi="仿宋" w:eastAsia="仿宋"/>
          <w:sz w:val="32"/>
          <w:szCs w:val="32"/>
          <w:lang w:val="en-US" w:eastAsia="zh-CN"/>
        </w:rPr>
        <w:t>2.58</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b/>
          <w:sz w:val="32"/>
          <w:szCs w:val="32"/>
        </w:rPr>
        <w:t>节能环保（类）</w:t>
      </w:r>
      <w:r>
        <w:rPr>
          <w:rFonts w:hint="eastAsia" w:ascii="仿宋" w:hAnsi="仿宋" w:eastAsia="仿宋"/>
          <w:sz w:val="32"/>
          <w:szCs w:val="32"/>
        </w:rPr>
        <w:t>支出</w:t>
      </w:r>
      <w:r>
        <w:rPr>
          <w:rFonts w:hint="eastAsia" w:ascii="仿宋" w:hAnsi="仿宋" w:eastAsia="仿宋"/>
          <w:sz w:val="32"/>
          <w:szCs w:val="32"/>
          <w:lang w:val="en-US" w:eastAsia="zh-CN"/>
        </w:rPr>
        <w:t>60.00</w:t>
      </w:r>
      <w:r>
        <w:rPr>
          <w:rFonts w:hint="eastAsia" w:ascii="仿宋" w:hAnsi="仿宋" w:eastAsia="仿宋"/>
          <w:sz w:val="32"/>
          <w:szCs w:val="32"/>
        </w:rPr>
        <w:t>万元，占</w:t>
      </w:r>
      <w:r>
        <w:rPr>
          <w:rFonts w:hint="eastAsia" w:ascii="仿宋" w:hAnsi="仿宋" w:eastAsia="仿宋"/>
          <w:sz w:val="32"/>
          <w:szCs w:val="32"/>
          <w:lang w:val="en-US" w:eastAsia="zh-CN"/>
        </w:rPr>
        <w:t>1.03</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b/>
          <w:sz w:val="32"/>
          <w:szCs w:val="32"/>
        </w:rPr>
        <w:t>城乡社区（类）</w:t>
      </w:r>
      <w:r>
        <w:rPr>
          <w:rFonts w:hint="eastAsia" w:ascii="仿宋" w:hAnsi="仿宋" w:eastAsia="仿宋"/>
          <w:sz w:val="32"/>
          <w:szCs w:val="32"/>
        </w:rPr>
        <w:t>支出</w:t>
      </w:r>
      <w:r>
        <w:rPr>
          <w:rFonts w:hint="eastAsia" w:ascii="仿宋" w:hAnsi="仿宋" w:eastAsia="仿宋"/>
          <w:sz w:val="32"/>
          <w:szCs w:val="32"/>
          <w:lang w:val="en-US" w:eastAsia="zh-CN"/>
        </w:rPr>
        <w:t>50.00</w:t>
      </w:r>
      <w:r>
        <w:rPr>
          <w:rFonts w:hint="eastAsia" w:ascii="仿宋" w:hAnsi="仿宋" w:eastAsia="仿宋"/>
          <w:sz w:val="32"/>
          <w:szCs w:val="32"/>
        </w:rPr>
        <w:t>万元，占</w:t>
      </w:r>
      <w:r>
        <w:rPr>
          <w:rFonts w:hint="eastAsia" w:ascii="仿宋" w:hAnsi="仿宋" w:eastAsia="仿宋"/>
          <w:sz w:val="32"/>
          <w:szCs w:val="32"/>
          <w:lang w:val="en-US" w:eastAsia="zh-CN"/>
        </w:rPr>
        <w:t>0.86</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eastAsia="zh-CN"/>
        </w:rPr>
      </w:pPr>
      <w:r>
        <w:rPr>
          <w:rFonts w:hint="eastAsia" w:ascii="仿宋" w:hAnsi="仿宋" w:eastAsia="仿宋"/>
          <w:b/>
          <w:sz w:val="32"/>
          <w:szCs w:val="32"/>
        </w:rPr>
        <w:t>农林水（类）</w:t>
      </w:r>
      <w:r>
        <w:rPr>
          <w:rFonts w:hint="eastAsia" w:ascii="仿宋" w:hAnsi="仿宋" w:eastAsia="仿宋"/>
          <w:sz w:val="32"/>
          <w:szCs w:val="32"/>
        </w:rPr>
        <w:t>支出</w:t>
      </w:r>
      <w:r>
        <w:rPr>
          <w:rFonts w:hint="eastAsia" w:ascii="仿宋" w:hAnsi="仿宋" w:eastAsia="仿宋"/>
          <w:sz w:val="32"/>
          <w:szCs w:val="32"/>
          <w:lang w:val="en-US" w:eastAsia="zh-CN"/>
        </w:rPr>
        <w:t>862.89</w:t>
      </w:r>
      <w:r>
        <w:rPr>
          <w:rFonts w:hint="eastAsia" w:ascii="仿宋" w:hAnsi="仿宋" w:eastAsia="仿宋"/>
          <w:sz w:val="32"/>
          <w:szCs w:val="32"/>
        </w:rPr>
        <w:t>万元，占</w:t>
      </w:r>
      <w:r>
        <w:rPr>
          <w:rFonts w:hint="eastAsia" w:ascii="仿宋" w:hAnsi="仿宋" w:eastAsia="仿宋"/>
          <w:sz w:val="32"/>
          <w:szCs w:val="32"/>
          <w:lang w:val="en-US" w:eastAsia="zh-CN"/>
        </w:rPr>
        <w:t>14.77</w:t>
      </w:r>
      <w:r>
        <w:rPr>
          <w:rFonts w:ascii="仿宋" w:hAnsi="仿宋" w:eastAsia="仿宋"/>
          <w:sz w:val="32"/>
          <w:szCs w:val="32"/>
        </w:rPr>
        <w:t>%</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eastAsia="zh-CN"/>
        </w:rPr>
      </w:pPr>
      <w:r>
        <w:rPr>
          <w:rFonts w:hint="eastAsia" w:ascii="仿宋" w:hAnsi="仿宋" w:eastAsia="仿宋"/>
          <w:b/>
          <w:sz w:val="32"/>
          <w:szCs w:val="32"/>
        </w:rPr>
        <w:t>交通运输（类）</w:t>
      </w:r>
      <w:r>
        <w:rPr>
          <w:rFonts w:hint="eastAsia" w:ascii="仿宋" w:hAnsi="仿宋" w:eastAsia="仿宋"/>
          <w:sz w:val="32"/>
          <w:szCs w:val="32"/>
        </w:rPr>
        <w:t>支出</w:t>
      </w:r>
      <w:r>
        <w:rPr>
          <w:rFonts w:hint="eastAsia" w:ascii="仿宋" w:hAnsi="仿宋" w:eastAsia="仿宋"/>
          <w:sz w:val="32"/>
          <w:szCs w:val="32"/>
          <w:lang w:val="en-US" w:eastAsia="zh-CN"/>
        </w:rPr>
        <w:t>60.00</w:t>
      </w:r>
      <w:r>
        <w:rPr>
          <w:rFonts w:hint="eastAsia" w:ascii="仿宋" w:hAnsi="仿宋" w:eastAsia="仿宋"/>
          <w:sz w:val="32"/>
          <w:szCs w:val="32"/>
        </w:rPr>
        <w:t>万元，占</w:t>
      </w:r>
      <w:r>
        <w:rPr>
          <w:rFonts w:hint="eastAsia" w:ascii="仿宋" w:hAnsi="仿宋" w:eastAsia="仿宋"/>
          <w:sz w:val="32"/>
          <w:szCs w:val="32"/>
          <w:lang w:val="en-US" w:eastAsia="zh-CN"/>
        </w:rPr>
        <w:t>1.03</w:t>
      </w:r>
      <w:r>
        <w:rPr>
          <w:rFonts w:ascii="仿宋" w:hAnsi="仿宋" w:eastAsia="仿宋"/>
          <w:sz w:val="32"/>
          <w:szCs w:val="32"/>
        </w:rPr>
        <w:t>%</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b/>
          <w:sz w:val="32"/>
          <w:szCs w:val="32"/>
        </w:rPr>
      </w:pPr>
      <w:r>
        <w:rPr>
          <w:rFonts w:hint="eastAsia" w:ascii="仿宋" w:hAnsi="仿宋" w:eastAsia="仿宋"/>
          <w:b/>
          <w:sz w:val="32"/>
          <w:szCs w:val="32"/>
        </w:rPr>
        <w:t>住房保障</w:t>
      </w:r>
      <w:r>
        <w:rPr>
          <w:rFonts w:hint="eastAsia" w:ascii="仿宋" w:hAnsi="仿宋" w:eastAsia="仿宋"/>
          <w:b/>
          <w:sz w:val="32"/>
          <w:szCs w:val="32"/>
          <w:lang w:eastAsia="zh-CN"/>
        </w:rPr>
        <w:t>（类）</w:t>
      </w:r>
      <w:r>
        <w:rPr>
          <w:rFonts w:hint="eastAsia" w:ascii="仿宋" w:hAnsi="仿宋" w:eastAsia="仿宋"/>
          <w:sz w:val="32"/>
          <w:szCs w:val="32"/>
        </w:rPr>
        <w:t>支出218.01万元，占</w:t>
      </w:r>
      <w:r>
        <w:rPr>
          <w:rFonts w:hint="eastAsia" w:ascii="仿宋" w:hAnsi="仿宋" w:eastAsia="仿宋"/>
          <w:sz w:val="32"/>
          <w:szCs w:val="32"/>
          <w:lang w:val="en-US" w:eastAsia="zh-CN"/>
        </w:rPr>
        <w:t>3.73</w:t>
      </w:r>
      <w:r>
        <w:rPr>
          <w:rFonts w:ascii="仿宋" w:hAnsi="仿宋" w:eastAsia="仿宋"/>
          <w:sz w:val="32"/>
          <w:szCs w:val="32"/>
        </w:rPr>
        <w:t>%</w:t>
      </w:r>
      <w:r>
        <w:rPr>
          <w:rFonts w:hint="eastAsia" w:ascii="仿宋" w:hAnsi="仿宋" w:eastAsia="仿宋"/>
          <w:sz w:val="32"/>
          <w:szCs w:val="32"/>
        </w:rPr>
        <w:t>。</w:t>
      </w:r>
    </w:p>
    <w:p>
      <w:pPr>
        <w:pStyle w:val="2"/>
        <w:keepNext w:val="0"/>
        <w:keepLines w:val="0"/>
        <w:pageBreakBefore w:val="0"/>
        <w:widowControl w:val="0"/>
        <w:kinsoku/>
        <w:wordWrap/>
        <w:overflowPunct/>
        <w:topLinePunct w:val="0"/>
        <w:autoSpaceDE/>
        <w:autoSpaceDN/>
        <w:bidi w:val="0"/>
        <w:adjustRightInd/>
        <w:snapToGrid/>
        <w:spacing w:beforeLines="0" w:line="560" w:lineRule="exact"/>
        <w:textAlignment w:val="auto"/>
        <w:rPr>
          <w:rFonts w:hint="eastAsia" w:ascii="仿宋" w:hAnsi="仿宋" w:eastAsia="仿宋"/>
          <w:b/>
          <w:sz w:val="32"/>
          <w:szCs w:val="32"/>
        </w:rPr>
      </w:pPr>
      <w:r>
        <w:rPr>
          <w:rFonts w:hint="eastAsia" w:ascii="仿宋" w:hAnsi="仿宋" w:eastAsia="仿宋"/>
          <w:b/>
          <w:sz w:val="32"/>
          <w:szCs w:val="32"/>
          <w:lang w:eastAsia="zh-CN"/>
        </w:rPr>
        <w:drawing>
          <wp:anchor distT="0" distB="0" distL="114300" distR="114300" simplePos="0" relativeHeight="251661312" behindDoc="0" locked="0" layoutInCell="1" allowOverlap="1">
            <wp:simplePos x="0" y="0"/>
            <wp:positionH relativeFrom="column">
              <wp:posOffset>-224155</wp:posOffset>
            </wp:positionH>
            <wp:positionV relativeFrom="paragraph">
              <wp:posOffset>59055</wp:posOffset>
            </wp:positionV>
            <wp:extent cx="5566410" cy="3819525"/>
            <wp:effectExtent l="4445" t="4445" r="10795" b="508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spacing w:line="600" w:lineRule="exact"/>
        <w:outlineLvl w:val="2"/>
        <w:rPr>
          <w:rFonts w:hint="eastAsia" w:ascii="仿宋" w:hAnsi="仿宋" w:eastAsia="仿宋"/>
          <w:b/>
          <w:sz w:val="32"/>
          <w:szCs w:val="32"/>
        </w:rPr>
      </w:pPr>
      <w:bookmarkStart w:id="44" w:name="_Toc1537721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sz w:val="32"/>
          <w:szCs w:val="32"/>
        </w:rPr>
      </w:pPr>
      <w:bookmarkStart w:id="45" w:name="_Toc15377444"/>
      <w:bookmarkStart w:id="46" w:name="_Toc15377213"/>
      <w:bookmarkStart w:id="47" w:name="_Toc15378460"/>
      <w:r>
        <w:rPr>
          <w:rFonts w:hint="eastAsia" w:ascii="仿宋" w:hAnsi="仿宋" w:eastAsia="仿宋"/>
          <w:b/>
          <w:sz w:val="32"/>
          <w:szCs w:val="32"/>
        </w:rPr>
        <w:t>2021年一般公共预算支出决算数为5,842.60</w:t>
      </w:r>
      <w:r>
        <w:rPr>
          <w:rFonts w:hint="eastAsia" w:ascii="仿宋" w:hAnsi="仿宋" w:eastAsia="仿宋"/>
          <w:b/>
          <w:sz w:val="32"/>
          <w:szCs w:val="32"/>
          <w:lang w:eastAsia="zh-CN"/>
        </w:rPr>
        <w:t>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100.03</w:t>
      </w:r>
      <w:r>
        <w:rPr>
          <w:rStyle w:val="14"/>
          <w:rFonts w:ascii="仿宋" w:hAnsi="仿宋" w:eastAsia="仿宋"/>
          <w:bCs/>
          <w:sz w:val="32"/>
          <w:szCs w:val="32"/>
        </w:rPr>
        <w:t>%</w:t>
      </w:r>
      <w:r>
        <w:rPr>
          <w:rStyle w:val="14"/>
          <w:rFonts w:hint="eastAsia" w:ascii="仿宋" w:hAnsi="仿宋" w:eastAsia="仿宋"/>
          <w:bCs/>
          <w:sz w:val="32"/>
          <w:szCs w:val="32"/>
        </w:rPr>
        <w:t>。其中：</w:t>
      </w:r>
      <w:bookmarkEnd w:id="45"/>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lang w:eastAsia="zh-CN"/>
        </w:rPr>
      </w:pPr>
      <w:r>
        <w:rPr>
          <w:rStyle w:val="14"/>
          <w:rFonts w:hint="eastAsia" w:ascii="仿宋" w:hAnsi="仿宋" w:eastAsia="仿宋"/>
          <w:bCs/>
          <w:sz w:val="32"/>
          <w:szCs w:val="32"/>
          <w:lang w:val="en-US" w:eastAsia="zh-CN"/>
        </w:rPr>
        <w:t>1.</w:t>
      </w:r>
      <w:r>
        <w:rPr>
          <w:rStyle w:val="14"/>
          <w:rFonts w:hint="eastAsia" w:ascii="仿宋" w:hAnsi="仿宋" w:eastAsia="仿宋"/>
          <w:bCs/>
          <w:sz w:val="32"/>
          <w:szCs w:val="32"/>
        </w:rPr>
        <w:t>一般公共服务（类）</w:t>
      </w:r>
      <w:r>
        <w:rPr>
          <w:rStyle w:val="14"/>
          <w:rFonts w:ascii="仿宋" w:hAnsi="仿宋" w:eastAsia="仿宋"/>
          <w:bCs/>
          <w:sz w:val="32"/>
          <w:szCs w:val="32"/>
        </w:rPr>
        <w:t>:</w:t>
      </w:r>
      <w:r>
        <w:rPr>
          <w:rStyle w:val="14"/>
          <w:rFonts w:hint="eastAsia" w:ascii="仿宋" w:hAnsi="仿宋" w:eastAsia="仿宋"/>
          <w:bCs/>
          <w:sz w:val="32"/>
          <w:szCs w:val="32"/>
        </w:rPr>
        <w:t>政府办公厅（室）及相关机构事务</w:t>
      </w:r>
      <w:r>
        <w:rPr>
          <w:rStyle w:val="14"/>
          <w:rFonts w:hint="eastAsia" w:ascii="仿宋" w:hAnsi="仿宋" w:eastAsia="仿宋"/>
          <w:bCs/>
          <w:sz w:val="32"/>
          <w:szCs w:val="32"/>
          <w:lang w:eastAsia="zh-CN"/>
        </w:rPr>
        <w:t>（款）：行政运行（项）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431.65</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bCs/>
          <w:sz w:val="32"/>
          <w:szCs w:val="32"/>
          <w:lang w:eastAsia="zh-CN"/>
        </w:rPr>
        <w:t>事业运行（项）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43.43</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bCs/>
          <w:sz w:val="32"/>
          <w:szCs w:val="32"/>
          <w:lang w:val="en-US" w:eastAsia="zh-CN"/>
        </w:rPr>
        <w:t>党</w:t>
      </w:r>
      <w:r>
        <w:rPr>
          <w:rStyle w:val="14"/>
          <w:rFonts w:hint="eastAsia" w:ascii="仿宋" w:hAnsi="仿宋" w:eastAsia="仿宋"/>
          <w:bCs/>
          <w:sz w:val="32"/>
          <w:szCs w:val="32"/>
          <w:lang w:eastAsia="zh-CN"/>
        </w:rPr>
        <w:t>委办公厅（室）及相关机构事务（款）：行政运行（项）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105.88</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cs="Times New Roman"/>
          <w:bCs/>
          <w:kern w:val="2"/>
          <w:sz w:val="32"/>
          <w:szCs w:val="32"/>
          <w:lang w:val="en-US" w:eastAsia="zh-CN" w:bidi="ar-SA"/>
        </w:rPr>
        <w:t>其他一般公共服务支出（款）：其他一般公共服务支出（项）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1.43</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；合计</w:t>
      </w:r>
      <w:r>
        <w:rPr>
          <w:rStyle w:val="14"/>
          <w:rFonts w:hint="eastAsia" w:ascii="仿宋" w:hAnsi="仿宋" w:eastAsia="仿宋"/>
          <w:b w:val="0"/>
          <w:bCs/>
          <w:sz w:val="32"/>
          <w:szCs w:val="32"/>
        </w:rPr>
        <w:t>支出决算为</w:t>
      </w:r>
      <w:r>
        <w:rPr>
          <w:rFonts w:hint="eastAsia" w:ascii="仿宋" w:hAnsi="仿宋" w:eastAsia="仿宋"/>
          <w:sz w:val="32"/>
          <w:szCs w:val="32"/>
        </w:rPr>
        <w:t>582.39</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highlight w:val="lightGray"/>
          <w:lang w:eastAsia="zh-CN"/>
        </w:rPr>
      </w:pPr>
      <w:r>
        <w:rPr>
          <w:rStyle w:val="14"/>
          <w:rFonts w:hint="eastAsia" w:ascii="仿宋" w:hAnsi="仿宋" w:eastAsia="仿宋"/>
          <w:bCs/>
          <w:sz w:val="32"/>
          <w:szCs w:val="32"/>
          <w:lang w:val="en-US" w:eastAsia="zh-CN"/>
        </w:rPr>
        <w:t>2.</w:t>
      </w:r>
      <w:r>
        <w:rPr>
          <w:rStyle w:val="14"/>
          <w:rFonts w:hint="eastAsia" w:ascii="仿宋" w:hAnsi="仿宋" w:eastAsia="仿宋"/>
          <w:bCs/>
          <w:sz w:val="32"/>
          <w:szCs w:val="32"/>
        </w:rPr>
        <w:t>教育（类）</w:t>
      </w:r>
      <w:r>
        <w:rPr>
          <w:rStyle w:val="14"/>
          <w:rFonts w:ascii="仿宋" w:hAnsi="仿宋" w:eastAsia="仿宋"/>
          <w:bCs/>
          <w:sz w:val="32"/>
          <w:szCs w:val="32"/>
        </w:rPr>
        <w:t>:</w:t>
      </w:r>
      <w:r>
        <w:rPr>
          <w:rStyle w:val="14"/>
          <w:rFonts w:hint="eastAsia" w:ascii="仿宋" w:hAnsi="仿宋" w:eastAsia="仿宋"/>
          <w:b/>
          <w:bCs w:val="0"/>
          <w:sz w:val="32"/>
          <w:szCs w:val="32"/>
        </w:rPr>
        <w:t>普通教育</w:t>
      </w:r>
      <w:r>
        <w:rPr>
          <w:rStyle w:val="14"/>
          <w:rFonts w:hint="eastAsia" w:ascii="仿宋" w:hAnsi="仿宋" w:eastAsia="仿宋"/>
          <w:b/>
          <w:bCs w:val="0"/>
          <w:sz w:val="32"/>
          <w:szCs w:val="32"/>
          <w:lang w:eastAsia="zh-CN"/>
        </w:rPr>
        <w:t>（款）：学前教育（项）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117.41</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b/>
          <w:bCs w:val="0"/>
          <w:sz w:val="32"/>
          <w:szCs w:val="32"/>
          <w:lang w:eastAsia="zh-CN"/>
        </w:rPr>
        <w:t>小学教育（项）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2159.56</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b/>
          <w:bCs w:val="0"/>
          <w:sz w:val="32"/>
          <w:szCs w:val="32"/>
          <w:lang w:eastAsia="zh-CN"/>
        </w:rPr>
        <w:t>初中教育（项）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1161.94</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；合计</w:t>
      </w:r>
      <w:r>
        <w:rPr>
          <w:rStyle w:val="14"/>
          <w:rFonts w:hint="eastAsia" w:ascii="仿宋" w:hAnsi="仿宋" w:eastAsia="仿宋"/>
          <w:b w:val="0"/>
          <w:bCs/>
          <w:sz w:val="32"/>
          <w:szCs w:val="32"/>
        </w:rPr>
        <w:t>支出决算为</w:t>
      </w: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438.91</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cs="Times New Roman"/>
          <w:bCs/>
          <w:kern w:val="2"/>
          <w:sz w:val="32"/>
          <w:szCs w:val="32"/>
          <w:lang w:val="en-US" w:eastAsia="zh-CN" w:bidi="ar-SA"/>
        </w:rPr>
      </w:pPr>
      <w:r>
        <w:rPr>
          <w:rStyle w:val="14"/>
          <w:rFonts w:hint="eastAsia" w:ascii="仿宋" w:hAnsi="仿宋" w:eastAsia="仿宋" w:cs="Times New Roman"/>
          <w:bCs/>
          <w:kern w:val="2"/>
          <w:sz w:val="32"/>
          <w:szCs w:val="32"/>
          <w:lang w:val="en-US" w:eastAsia="zh-CN" w:bidi="ar-SA"/>
        </w:rPr>
        <w:t>3.科学技术支出（类）:其他科学技术支出（款）其他科学技术支出（项）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0.8</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sz w:val="32"/>
          <w:szCs w:val="32"/>
          <w:highlight w:val="lightGray"/>
          <w:lang w:eastAsia="zh-CN"/>
        </w:rPr>
      </w:pPr>
      <w:r>
        <w:rPr>
          <w:rStyle w:val="14"/>
          <w:rFonts w:hint="eastAsia" w:ascii="仿宋" w:hAnsi="仿宋" w:eastAsia="仿宋"/>
          <w:bCs/>
          <w:sz w:val="32"/>
          <w:szCs w:val="32"/>
          <w:lang w:val="en-US" w:eastAsia="zh-CN"/>
        </w:rPr>
        <w:t>4</w:t>
      </w:r>
      <w:r>
        <w:rPr>
          <w:rStyle w:val="14"/>
          <w:rFonts w:ascii="仿宋" w:hAnsi="仿宋" w:eastAsia="仿宋"/>
          <w:bCs/>
          <w:sz w:val="32"/>
          <w:szCs w:val="32"/>
        </w:rPr>
        <w:t>.</w:t>
      </w:r>
      <w:r>
        <w:rPr>
          <w:rStyle w:val="14"/>
          <w:rFonts w:hint="eastAsia" w:ascii="仿宋" w:hAnsi="仿宋" w:eastAsia="仿宋"/>
          <w:bCs/>
          <w:sz w:val="32"/>
          <w:szCs w:val="32"/>
        </w:rPr>
        <w:t>文化旅游体育与传媒（类）</w:t>
      </w:r>
      <w:r>
        <w:rPr>
          <w:rStyle w:val="14"/>
          <w:rFonts w:ascii="仿宋" w:hAnsi="仿宋" w:eastAsia="仿宋"/>
          <w:bCs/>
          <w:sz w:val="32"/>
          <w:szCs w:val="32"/>
        </w:rPr>
        <w:t>:</w:t>
      </w:r>
      <w:r>
        <w:rPr>
          <w:rStyle w:val="14"/>
          <w:rFonts w:hint="eastAsia" w:ascii="仿宋" w:hAnsi="仿宋" w:eastAsia="仿宋"/>
          <w:bCs/>
          <w:sz w:val="32"/>
          <w:szCs w:val="32"/>
        </w:rPr>
        <w:t>其他文化旅游体育与传媒支出</w:t>
      </w:r>
      <w:r>
        <w:rPr>
          <w:rStyle w:val="14"/>
          <w:rFonts w:hint="eastAsia" w:ascii="仿宋" w:hAnsi="仿宋" w:eastAsia="仿宋"/>
          <w:bCs/>
          <w:sz w:val="32"/>
          <w:szCs w:val="32"/>
          <w:lang w:eastAsia="zh-CN"/>
        </w:rPr>
        <w:t>（款）其他文化旅游体育与传媒支出（项）</w:t>
      </w:r>
      <w:r>
        <w:rPr>
          <w:rStyle w:val="14"/>
          <w:rFonts w:hint="eastAsia" w:ascii="仿宋" w:hAnsi="仿宋" w:eastAsia="仿宋"/>
          <w:b w:val="0"/>
          <w:bCs/>
          <w:sz w:val="32"/>
          <w:szCs w:val="32"/>
        </w:rPr>
        <w:t>支出决算为</w:t>
      </w:r>
      <w:r>
        <w:rPr>
          <w:rFonts w:hint="eastAsia" w:ascii="仿宋" w:hAnsi="仿宋" w:eastAsia="仿宋"/>
          <w:sz w:val="32"/>
          <w:szCs w:val="32"/>
        </w:rPr>
        <w:t>30.12</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Style w:val="14"/>
          <w:rFonts w:ascii="仿宋" w:hAnsi="仿宋" w:eastAsia="仿宋"/>
          <w:bCs/>
          <w:sz w:val="32"/>
          <w:szCs w:val="32"/>
        </w:rPr>
        <w:t>5.</w:t>
      </w:r>
      <w:r>
        <w:rPr>
          <w:rStyle w:val="14"/>
          <w:rFonts w:hint="eastAsia" w:ascii="仿宋" w:hAnsi="仿宋" w:eastAsia="仿宋"/>
          <w:bCs/>
          <w:sz w:val="32"/>
          <w:szCs w:val="32"/>
        </w:rPr>
        <w:t>社会保障和就业（类）</w:t>
      </w:r>
      <w:r>
        <w:rPr>
          <w:rStyle w:val="14"/>
          <w:rFonts w:ascii="仿宋" w:hAnsi="仿宋" w:eastAsia="仿宋"/>
          <w:bCs/>
          <w:sz w:val="32"/>
          <w:szCs w:val="32"/>
        </w:rPr>
        <w:t>:</w:t>
      </w:r>
      <w:r>
        <w:rPr>
          <w:rStyle w:val="14"/>
          <w:rFonts w:hint="eastAsia" w:ascii="仿宋" w:hAnsi="仿宋" w:eastAsia="仿宋"/>
          <w:bCs/>
          <w:sz w:val="32"/>
          <w:szCs w:val="32"/>
        </w:rPr>
        <w:t>行政事业单位养老支出</w:t>
      </w:r>
      <w:r>
        <w:rPr>
          <w:rStyle w:val="14"/>
          <w:rFonts w:hint="eastAsia" w:ascii="仿宋" w:hAnsi="仿宋" w:eastAsia="仿宋"/>
          <w:bCs/>
          <w:sz w:val="32"/>
          <w:szCs w:val="32"/>
          <w:lang w:eastAsia="zh-CN"/>
        </w:rPr>
        <w:t>（款）：机关事业单位基本养老保险缴费支出（项）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340.32</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bCs/>
          <w:sz w:val="32"/>
          <w:szCs w:val="32"/>
          <w:lang w:eastAsia="zh-CN"/>
        </w:rPr>
        <w:t>机关事业单位职业年金缴费支出（项）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48.2</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；合计</w:t>
      </w:r>
      <w:r>
        <w:rPr>
          <w:rStyle w:val="14"/>
          <w:rFonts w:hint="eastAsia" w:ascii="仿宋" w:hAnsi="仿宋" w:eastAsia="仿宋"/>
          <w:b w:val="0"/>
          <w:bCs/>
          <w:sz w:val="32"/>
          <w:szCs w:val="32"/>
        </w:rPr>
        <w:t>支出决算为</w:t>
      </w:r>
      <w:r>
        <w:rPr>
          <w:rFonts w:hint="eastAsia" w:ascii="仿宋" w:hAnsi="仿宋" w:eastAsia="仿宋"/>
          <w:sz w:val="32"/>
          <w:szCs w:val="32"/>
        </w:rPr>
        <w:t>388.52</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highlight w:val="lightGray"/>
          <w:lang w:val="en-US" w:eastAsia="zh-CN"/>
        </w:rPr>
      </w:pPr>
      <w:r>
        <w:rPr>
          <w:rFonts w:hint="eastAsia" w:ascii="仿宋" w:hAnsi="仿宋" w:eastAsia="仿宋"/>
          <w:b/>
          <w:bCs/>
          <w:sz w:val="32"/>
          <w:szCs w:val="32"/>
          <w:lang w:val="en-US" w:eastAsia="zh-CN"/>
        </w:rPr>
        <w:t>6.</w:t>
      </w:r>
      <w:r>
        <w:rPr>
          <w:rFonts w:hint="eastAsia" w:ascii="仿宋" w:hAnsi="仿宋" w:eastAsia="仿宋"/>
          <w:b/>
          <w:bCs/>
          <w:sz w:val="32"/>
          <w:szCs w:val="32"/>
        </w:rPr>
        <w:t>卫生健康</w:t>
      </w:r>
      <w:r>
        <w:rPr>
          <w:rStyle w:val="14"/>
          <w:rFonts w:hint="eastAsia" w:ascii="仿宋" w:hAnsi="仿宋" w:eastAsia="仿宋"/>
          <w:bCs/>
          <w:sz w:val="32"/>
          <w:szCs w:val="32"/>
        </w:rPr>
        <w:t>（类）</w:t>
      </w:r>
      <w:r>
        <w:rPr>
          <w:rStyle w:val="14"/>
          <w:rFonts w:ascii="仿宋" w:hAnsi="仿宋" w:eastAsia="仿宋"/>
          <w:bCs/>
          <w:sz w:val="32"/>
          <w:szCs w:val="32"/>
        </w:rPr>
        <w:t>:</w:t>
      </w:r>
      <w:r>
        <w:rPr>
          <w:rFonts w:hint="eastAsia" w:ascii="仿宋" w:hAnsi="仿宋" w:eastAsia="仿宋"/>
          <w:b/>
          <w:bCs/>
          <w:sz w:val="32"/>
          <w:szCs w:val="32"/>
        </w:rPr>
        <w:t>行政事业单位医疗</w:t>
      </w:r>
      <w:r>
        <w:rPr>
          <w:rFonts w:hint="eastAsia" w:ascii="仿宋" w:hAnsi="仿宋" w:eastAsia="仿宋"/>
          <w:b/>
          <w:bCs/>
          <w:sz w:val="32"/>
          <w:szCs w:val="32"/>
          <w:lang w:eastAsia="zh-CN"/>
        </w:rPr>
        <w:t>（款）：行政单位医疗（项）</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75.24</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Fonts w:hint="eastAsia" w:ascii="仿宋" w:hAnsi="仿宋" w:eastAsia="仿宋"/>
          <w:b/>
          <w:bCs/>
          <w:sz w:val="32"/>
          <w:szCs w:val="32"/>
          <w:lang w:eastAsia="zh-CN"/>
        </w:rPr>
        <w:t>事业单位医疗（项）</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65.40</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Fonts w:hint="eastAsia" w:ascii="仿宋" w:hAnsi="仿宋" w:eastAsia="仿宋"/>
          <w:b/>
          <w:bCs/>
          <w:sz w:val="32"/>
          <w:szCs w:val="32"/>
          <w:lang w:eastAsia="zh-CN"/>
        </w:rPr>
        <w:t>公务员医疗补助（项）</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10.32</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；合计</w:t>
      </w:r>
      <w:r>
        <w:rPr>
          <w:rStyle w:val="14"/>
          <w:rFonts w:hint="eastAsia" w:ascii="仿宋" w:hAnsi="仿宋" w:eastAsia="仿宋"/>
          <w:b w:val="0"/>
          <w:bCs/>
          <w:sz w:val="32"/>
          <w:szCs w:val="32"/>
        </w:rPr>
        <w:t>支出决算为150.96万元，完成预算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highlight w:val="lightGray"/>
          <w:lang w:eastAsia="zh-CN"/>
        </w:rPr>
      </w:pPr>
      <w:r>
        <w:rPr>
          <w:rStyle w:val="14"/>
          <w:rFonts w:hint="eastAsia" w:ascii="仿宋" w:hAnsi="仿宋" w:eastAsia="仿宋"/>
          <w:bCs/>
          <w:sz w:val="32"/>
          <w:szCs w:val="32"/>
          <w:lang w:val="en-US" w:eastAsia="zh-CN"/>
        </w:rPr>
        <w:t>7.节</w:t>
      </w:r>
      <w:r>
        <w:rPr>
          <w:rFonts w:hint="eastAsia" w:ascii="仿宋" w:hAnsi="仿宋" w:eastAsia="仿宋"/>
          <w:b/>
          <w:sz w:val="32"/>
          <w:szCs w:val="32"/>
        </w:rPr>
        <w:t>能环保（类）</w:t>
      </w:r>
      <w:r>
        <w:rPr>
          <w:rStyle w:val="14"/>
          <w:rFonts w:ascii="仿宋" w:hAnsi="仿宋" w:eastAsia="仿宋"/>
          <w:bCs/>
          <w:sz w:val="32"/>
          <w:szCs w:val="32"/>
        </w:rPr>
        <w:t>:</w:t>
      </w:r>
      <w:r>
        <w:rPr>
          <w:rStyle w:val="14"/>
          <w:rFonts w:hint="eastAsia" w:ascii="仿宋" w:hAnsi="仿宋" w:eastAsia="仿宋"/>
          <w:bCs/>
          <w:sz w:val="32"/>
          <w:szCs w:val="32"/>
        </w:rPr>
        <w:t>污染防治</w:t>
      </w:r>
      <w:r>
        <w:rPr>
          <w:rStyle w:val="14"/>
          <w:rFonts w:hint="eastAsia" w:ascii="仿宋" w:hAnsi="仿宋" w:eastAsia="仿宋"/>
          <w:bCs/>
          <w:sz w:val="32"/>
          <w:szCs w:val="32"/>
          <w:lang w:eastAsia="zh-CN"/>
        </w:rPr>
        <w:t>（款）水体（项）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60.00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lang w:eastAsia="zh-CN"/>
        </w:rPr>
      </w:pPr>
      <w:r>
        <w:rPr>
          <w:rStyle w:val="14"/>
          <w:rFonts w:hint="eastAsia" w:ascii="仿宋" w:hAnsi="仿宋" w:eastAsia="仿宋"/>
          <w:bCs/>
          <w:sz w:val="32"/>
          <w:szCs w:val="32"/>
          <w:lang w:val="en-US" w:eastAsia="zh-CN"/>
        </w:rPr>
        <w:t>8</w:t>
      </w:r>
      <w:r>
        <w:rPr>
          <w:rStyle w:val="14"/>
          <w:rFonts w:ascii="仿宋" w:hAnsi="仿宋" w:eastAsia="仿宋"/>
          <w:bCs/>
          <w:sz w:val="32"/>
          <w:szCs w:val="32"/>
        </w:rPr>
        <w:t>.</w:t>
      </w:r>
      <w:r>
        <w:rPr>
          <w:rFonts w:hint="eastAsia" w:ascii="仿宋" w:hAnsi="仿宋" w:eastAsia="仿宋"/>
          <w:b/>
          <w:sz w:val="32"/>
          <w:szCs w:val="32"/>
        </w:rPr>
        <w:t>城乡社区（类）</w:t>
      </w:r>
      <w:r>
        <w:rPr>
          <w:rStyle w:val="14"/>
          <w:rFonts w:ascii="仿宋" w:hAnsi="仿宋" w:eastAsia="仿宋"/>
          <w:bCs/>
          <w:sz w:val="32"/>
          <w:szCs w:val="32"/>
        </w:rPr>
        <w:t>:</w:t>
      </w:r>
      <w:r>
        <w:rPr>
          <w:rStyle w:val="14"/>
          <w:rFonts w:hint="eastAsia" w:ascii="仿宋" w:hAnsi="仿宋" w:eastAsia="仿宋"/>
          <w:bCs/>
          <w:sz w:val="32"/>
          <w:szCs w:val="32"/>
        </w:rPr>
        <w:t>城乡社区管理事务</w:t>
      </w:r>
      <w:r>
        <w:rPr>
          <w:rStyle w:val="14"/>
          <w:rFonts w:hint="eastAsia" w:ascii="仿宋" w:hAnsi="仿宋" w:eastAsia="仿宋"/>
          <w:bCs/>
          <w:sz w:val="32"/>
          <w:szCs w:val="32"/>
          <w:lang w:eastAsia="zh-CN"/>
        </w:rPr>
        <w:t>（款）其他城乡社区管理事务支出（项）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50.00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lang w:eastAsia="zh-CN"/>
        </w:rPr>
      </w:pPr>
      <w:r>
        <w:rPr>
          <w:rStyle w:val="14"/>
          <w:rFonts w:hint="eastAsia" w:ascii="仿宋" w:hAnsi="仿宋" w:eastAsia="仿宋"/>
          <w:bCs/>
          <w:sz w:val="32"/>
          <w:szCs w:val="32"/>
          <w:lang w:val="en-US" w:eastAsia="zh-CN"/>
        </w:rPr>
        <w:t>9</w:t>
      </w:r>
      <w:r>
        <w:rPr>
          <w:rStyle w:val="14"/>
          <w:rFonts w:ascii="仿宋" w:hAnsi="仿宋" w:eastAsia="仿宋"/>
          <w:bCs/>
          <w:sz w:val="32"/>
          <w:szCs w:val="32"/>
        </w:rPr>
        <w:t>.</w:t>
      </w:r>
      <w:r>
        <w:rPr>
          <w:rFonts w:hint="eastAsia" w:ascii="仿宋" w:hAnsi="仿宋" w:eastAsia="仿宋"/>
          <w:b/>
          <w:sz w:val="32"/>
          <w:szCs w:val="32"/>
        </w:rPr>
        <w:t>农林水（类）</w:t>
      </w:r>
      <w:r>
        <w:rPr>
          <w:rStyle w:val="14"/>
          <w:rFonts w:ascii="仿宋" w:hAnsi="仿宋" w:eastAsia="仿宋"/>
          <w:bCs/>
          <w:sz w:val="32"/>
          <w:szCs w:val="32"/>
        </w:rPr>
        <w:t>:</w:t>
      </w:r>
      <w:r>
        <w:rPr>
          <w:rStyle w:val="14"/>
          <w:rFonts w:hint="eastAsia" w:ascii="仿宋" w:hAnsi="仿宋" w:eastAsia="仿宋"/>
          <w:bCs/>
          <w:sz w:val="32"/>
          <w:szCs w:val="32"/>
        </w:rPr>
        <w:t>农业农村</w:t>
      </w:r>
      <w:r>
        <w:rPr>
          <w:rStyle w:val="14"/>
          <w:rFonts w:hint="eastAsia" w:ascii="仿宋" w:hAnsi="仿宋" w:eastAsia="仿宋"/>
          <w:bCs/>
          <w:sz w:val="32"/>
          <w:szCs w:val="32"/>
          <w:lang w:eastAsia="zh-CN"/>
        </w:rPr>
        <w:t>（款）其他农业农村支出（项）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578.54</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cs="Times New Roman"/>
          <w:bCs/>
          <w:kern w:val="2"/>
          <w:sz w:val="32"/>
          <w:szCs w:val="32"/>
          <w:lang w:val="en-US" w:eastAsia="zh-CN" w:bidi="ar-SA"/>
        </w:rPr>
        <w:t>农村综合改革（款）对村民委员会和村党支部的补助（项）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167.73</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cs="Times New Roman"/>
          <w:bCs/>
          <w:kern w:val="2"/>
          <w:sz w:val="32"/>
          <w:szCs w:val="32"/>
          <w:lang w:val="en-US" w:eastAsia="zh-CN" w:bidi="ar-SA"/>
        </w:rPr>
        <w:t>目标价格补贴（款）其他目标价格补贴（项）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116.62</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；合计</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862.89</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lang w:eastAsia="zh-CN"/>
        </w:rPr>
      </w:pPr>
      <w:r>
        <w:rPr>
          <w:rStyle w:val="14"/>
          <w:rFonts w:hint="eastAsia" w:ascii="仿宋" w:hAnsi="仿宋" w:eastAsia="仿宋"/>
          <w:bCs/>
          <w:sz w:val="32"/>
          <w:szCs w:val="32"/>
          <w:lang w:val="en-US" w:eastAsia="zh-CN"/>
        </w:rPr>
        <w:t>10</w:t>
      </w:r>
      <w:r>
        <w:rPr>
          <w:rStyle w:val="14"/>
          <w:rFonts w:ascii="仿宋" w:hAnsi="仿宋" w:eastAsia="仿宋"/>
          <w:bCs/>
          <w:sz w:val="32"/>
          <w:szCs w:val="32"/>
        </w:rPr>
        <w:t>.</w:t>
      </w:r>
      <w:r>
        <w:rPr>
          <w:rFonts w:hint="eastAsia" w:ascii="仿宋" w:hAnsi="仿宋" w:eastAsia="仿宋"/>
          <w:b/>
          <w:sz w:val="32"/>
          <w:szCs w:val="32"/>
        </w:rPr>
        <w:t>交通运输（类）</w:t>
      </w:r>
      <w:r>
        <w:rPr>
          <w:rStyle w:val="14"/>
          <w:rFonts w:ascii="仿宋" w:hAnsi="仿宋" w:eastAsia="仿宋"/>
          <w:bCs/>
          <w:sz w:val="32"/>
          <w:szCs w:val="32"/>
        </w:rPr>
        <w:t>:</w:t>
      </w:r>
      <w:r>
        <w:rPr>
          <w:rStyle w:val="14"/>
          <w:rFonts w:hint="eastAsia" w:ascii="仿宋" w:hAnsi="仿宋" w:eastAsia="仿宋"/>
          <w:bCs/>
          <w:sz w:val="32"/>
          <w:szCs w:val="32"/>
        </w:rPr>
        <w:t>公路水路运输</w:t>
      </w:r>
      <w:r>
        <w:rPr>
          <w:rStyle w:val="14"/>
          <w:rFonts w:hint="eastAsia" w:ascii="仿宋" w:hAnsi="仿宋" w:eastAsia="仿宋"/>
          <w:bCs/>
          <w:sz w:val="32"/>
          <w:szCs w:val="32"/>
          <w:lang w:eastAsia="zh-CN"/>
        </w:rPr>
        <w:t>（款）公路建设（项）</w:t>
      </w:r>
      <w:r>
        <w:rPr>
          <w:rStyle w:val="14"/>
          <w:rFonts w:hint="eastAsia" w:ascii="仿宋" w:hAnsi="仿宋" w:eastAsia="仿宋"/>
          <w:b w:val="0"/>
          <w:bCs/>
          <w:sz w:val="32"/>
          <w:szCs w:val="32"/>
        </w:rPr>
        <w:t>支出决算为</w:t>
      </w:r>
      <w:r>
        <w:rPr>
          <w:rFonts w:hint="eastAsia" w:ascii="仿宋" w:hAnsi="仿宋" w:eastAsia="仿宋"/>
          <w:sz w:val="32"/>
          <w:szCs w:val="32"/>
        </w:rPr>
        <w:t>218.01</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Style w:val="14"/>
          <w:rFonts w:hint="eastAsia" w:ascii="仿宋" w:hAnsi="仿宋" w:eastAsia="仿宋"/>
          <w:bCs/>
          <w:sz w:val="32"/>
          <w:szCs w:val="32"/>
          <w:lang w:val="en-US" w:eastAsia="zh-CN"/>
        </w:rPr>
        <w:t>11</w:t>
      </w:r>
      <w:r>
        <w:rPr>
          <w:rStyle w:val="14"/>
          <w:rFonts w:ascii="仿宋" w:hAnsi="仿宋" w:eastAsia="仿宋"/>
          <w:bCs/>
          <w:sz w:val="32"/>
          <w:szCs w:val="32"/>
        </w:rPr>
        <w:t>.</w:t>
      </w:r>
      <w:r>
        <w:rPr>
          <w:rFonts w:hint="eastAsia" w:ascii="仿宋" w:hAnsi="仿宋" w:eastAsia="仿宋"/>
          <w:b/>
          <w:sz w:val="32"/>
          <w:szCs w:val="32"/>
        </w:rPr>
        <w:t>住房保障</w:t>
      </w:r>
      <w:r>
        <w:rPr>
          <w:rFonts w:hint="eastAsia" w:ascii="仿宋" w:hAnsi="仿宋" w:eastAsia="仿宋"/>
          <w:b/>
          <w:sz w:val="32"/>
          <w:szCs w:val="32"/>
          <w:lang w:eastAsia="zh-CN"/>
        </w:rPr>
        <w:t>（类）</w:t>
      </w:r>
      <w:r>
        <w:rPr>
          <w:rStyle w:val="14"/>
          <w:rFonts w:ascii="仿宋" w:hAnsi="仿宋" w:eastAsia="仿宋"/>
          <w:bCs/>
          <w:sz w:val="32"/>
          <w:szCs w:val="32"/>
        </w:rPr>
        <w:t>:</w:t>
      </w:r>
      <w:r>
        <w:rPr>
          <w:rStyle w:val="14"/>
          <w:rFonts w:hint="eastAsia" w:ascii="仿宋" w:hAnsi="仿宋" w:eastAsia="仿宋"/>
          <w:bCs/>
          <w:sz w:val="32"/>
          <w:szCs w:val="32"/>
        </w:rPr>
        <w:t>住房改革支出</w:t>
      </w:r>
      <w:r>
        <w:rPr>
          <w:rStyle w:val="14"/>
          <w:rFonts w:hint="eastAsia" w:ascii="仿宋" w:hAnsi="仿宋" w:eastAsia="仿宋"/>
          <w:bCs/>
          <w:sz w:val="32"/>
          <w:szCs w:val="32"/>
          <w:lang w:eastAsia="zh-CN"/>
        </w:rPr>
        <w:t>（款）住房公积金（项）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60.00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25"/>
        </w:rPr>
      </w:pPr>
      <w:bookmarkStart w:id="48" w:name="_Toc15396608"/>
      <w:bookmarkStart w:id="4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8"/>
      <w:bookmarkEnd w:id="49"/>
      <w:r>
        <w:rPr>
          <w:rStyle w:val="25"/>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4,718.27</w:t>
      </w:r>
      <w:r>
        <w:rPr>
          <w:rFonts w:hint="eastAsia" w:ascii="仿宋" w:hAnsi="仿宋" w:eastAsia="仿宋"/>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rPr>
      </w:pPr>
      <w:r>
        <w:rPr>
          <w:rFonts w:hint="eastAsia" w:ascii="仿宋" w:hAnsi="仿宋" w:eastAsia="仿宋"/>
          <w:b/>
          <w:bCs/>
          <w:sz w:val="32"/>
          <w:szCs w:val="32"/>
        </w:rPr>
        <w:t>人员经费</w:t>
      </w:r>
      <w:r>
        <w:rPr>
          <w:rFonts w:hint="eastAsia" w:ascii="仿宋" w:hAnsi="仿宋" w:eastAsia="仿宋"/>
          <w:b/>
          <w:bCs/>
          <w:sz w:val="32"/>
          <w:szCs w:val="32"/>
          <w:lang w:val="en-US" w:eastAsia="zh-CN"/>
        </w:rPr>
        <w:t>4,074.28</w:t>
      </w:r>
      <w:r>
        <w:rPr>
          <w:rFonts w:hint="eastAsia" w:ascii="仿宋" w:hAnsi="仿宋" w:eastAsia="仿宋"/>
          <w:b/>
          <w:bCs/>
          <w:sz w:val="32"/>
          <w:szCs w:val="32"/>
        </w:rPr>
        <w:t>万元，</w:t>
      </w:r>
      <w:r>
        <w:rPr>
          <w:rFonts w:hint="eastAsia" w:ascii="仿宋" w:hAnsi="仿宋" w:eastAsia="仿宋"/>
          <w:sz w:val="32"/>
          <w:szCs w:val="32"/>
        </w:rPr>
        <w:t>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b/>
          <w:bCs/>
          <w:sz w:val="32"/>
          <w:szCs w:val="32"/>
        </w:rPr>
        <w:t>　　公用经费</w:t>
      </w:r>
      <w:r>
        <w:rPr>
          <w:rFonts w:hint="eastAsia" w:ascii="仿宋" w:hAnsi="仿宋" w:eastAsia="仿宋"/>
          <w:b/>
          <w:bCs/>
          <w:sz w:val="32"/>
          <w:szCs w:val="32"/>
          <w:lang w:val="en-US" w:eastAsia="zh-CN"/>
        </w:rPr>
        <w:t>643.99</w:t>
      </w:r>
      <w:r>
        <w:rPr>
          <w:rFonts w:hint="eastAsia" w:ascii="仿宋" w:hAnsi="仿宋" w:eastAsia="仿宋"/>
          <w:b/>
          <w:bCs/>
          <w:sz w:val="32"/>
          <w:szCs w:val="32"/>
        </w:rPr>
        <w:t>万元，</w:t>
      </w:r>
      <w:r>
        <w:rPr>
          <w:rFonts w:hint="eastAsia" w:ascii="仿宋" w:hAnsi="仿宋" w:eastAsia="仿宋"/>
          <w:sz w:val="32"/>
          <w:szCs w:val="32"/>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bookmarkStart w:id="50" w:name="_Toc15377215"/>
      <w:bookmarkStart w:id="51" w:name="_Toc1539660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5"/>
          <w:rFonts w:ascii="黑体" w:hAnsi="黑体" w:eastAsia="黑体"/>
          <w:b w:val="0"/>
        </w:rPr>
      </w:pPr>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sz w:val="32"/>
          <w:szCs w:val="32"/>
        </w:rPr>
      </w:pPr>
      <w:bookmarkStart w:id="52" w:name="_Toc15377216"/>
      <w:r>
        <w:rPr>
          <w:rFonts w:hint="eastAsia" w:ascii="仿宋" w:hAnsi="仿宋" w:eastAsia="仿宋"/>
          <w:b/>
          <w:sz w:val="32"/>
          <w:szCs w:val="32"/>
        </w:rPr>
        <w:t>（一）“三公”经费财政拨款支出决算总体情况说明</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21.80</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，决算数与预算数持平的主要原因是“三公”经费</w:t>
      </w:r>
      <w:r>
        <w:rPr>
          <w:rFonts w:hint="eastAsia" w:ascii="仿宋" w:hAnsi="仿宋" w:eastAsia="仿宋"/>
          <w:sz w:val="32"/>
          <w:szCs w:val="32"/>
          <w:lang w:eastAsia="zh-CN"/>
        </w:rPr>
        <w:t>按预算支出</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sz w:val="32"/>
          <w:szCs w:val="32"/>
        </w:rPr>
      </w:pPr>
      <w:bookmarkStart w:id="53" w:name="_Toc15377217"/>
      <w:r>
        <w:rPr>
          <w:rFonts w:hint="eastAsia" w:ascii="仿宋" w:hAnsi="仿宋" w:eastAsia="仿宋"/>
          <w:b/>
          <w:sz w:val="32"/>
          <w:szCs w:val="32"/>
        </w:rPr>
        <w:t>（二）“三公”经费财政拨款支出决算具体情况说明</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21年“三公”经费财政拨款支出决算中，公务用车购置及运行维护费支出决算</w:t>
      </w:r>
      <w:r>
        <w:rPr>
          <w:rFonts w:hint="eastAsia" w:ascii="仿宋" w:hAnsi="仿宋" w:eastAsia="仿宋"/>
          <w:sz w:val="32"/>
          <w:szCs w:val="32"/>
          <w:lang w:val="en-US" w:eastAsia="zh-CN"/>
        </w:rPr>
        <w:t>10.05</w:t>
      </w:r>
      <w:r>
        <w:rPr>
          <w:rFonts w:hint="eastAsia" w:ascii="仿宋" w:hAnsi="仿宋" w:eastAsia="仿宋"/>
          <w:sz w:val="32"/>
          <w:szCs w:val="32"/>
        </w:rPr>
        <w:t>万元，占</w:t>
      </w:r>
      <w:r>
        <w:rPr>
          <w:rFonts w:hint="eastAsia" w:ascii="仿宋" w:hAnsi="仿宋" w:eastAsia="仿宋"/>
          <w:sz w:val="32"/>
          <w:szCs w:val="32"/>
          <w:lang w:val="en-US" w:eastAsia="zh-CN"/>
        </w:rPr>
        <w:t>46.11</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11.75</w:t>
      </w:r>
      <w:r>
        <w:rPr>
          <w:rFonts w:hint="eastAsia" w:ascii="仿宋" w:hAnsi="仿宋" w:eastAsia="仿宋"/>
          <w:sz w:val="32"/>
          <w:szCs w:val="32"/>
        </w:rPr>
        <w:t>万元，占</w:t>
      </w:r>
      <w:r>
        <w:rPr>
          <w:rFonts w:hint="eastAsia" w:ascii="仿宋" w:hAnsi="仿宋" w:eastAsia="仿宋"/>
          <w:sz w:val="32"/>
          <w:szCs w:val="32"/>
          <w:lang w:val="en-US" w:eastAsia="zh-CN"/>
        </w:rPr>
        <w:t>53.89</w:t>
      </w:r>
      <w:r>
        <w:rPr>
          <w:rFonts w:ascii="仿宋" w:hAnsi="仿宋" w:eastAsia="仿宋"/>
          <w:sz w:val="32"/>
          <w:szCs w:val="32"/>
        </w:rPr>
        <w:t>%</w:t>
      </w:r>
      <w:r>
        <w:rPr>
          <w:rFonts w:hint="eastAsia" w:ascii="仿宋" w:hAnsi="仿宋" w:eastAsia="仿宋"/>
          <w:sz w:val="32"/>
          <w:szCs w:val="32"/>
        </w:rPr>
        <w:t>。具体情况如下：</w:t>
      </w:r>
    </w:p>
    <w:p>
      <w:pPr>
        <w:pStyle w:val="2"/>
        <w:jc w:val="center"/>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4204335" cy="2429510"/>
            <wp:effectExtent l="4445" t="4445" r="20320" b="234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jc w:val="center"/>
        <w:rPr>
          <w:rFonts w:hint="eastAsia" w:ascii="仿宋" w:hAnsi="仿宋" w:eastAsia="仿宋"/>
          <w:sz w:val="32"/>
          <w:szCs w:val="32"/>
        </w:rPr>
      </w:pPr>
      <w:r>
        <w:rPr>
          <w:rFonts w:hint="eastAsia" w:ascii="仿宋" w:hAnsi="仿宋" w:eastAsia="仿宋"/>
          <w:sz w:val="32"/>
          <w:szCs w:val="32"/>
        </w:rPr>
        <w:t>（图7：“三公”经费财政拨款支出结构）</w:t>
      </w:r>
    </w:p>
    <w:p>
      <w:pPr>
        <w:pStyle w:val="2"/>
        <w:keepNext w:val="0"/>
        <w:keepLines w:val="0"/>
        <w:pageBreakBefore w:val="0"/>
        <w:kinsoku/>
        <w:wordWrap/>
        <w:overflowPunct/>
        <w:topLinePunct w:val="0"/>
        <w:bidi w:val="0"/>
        <w:snapToGrid/>
        <w:spacing w:beforeLines="0" w:line="560" w:lineRule="exact"/>
        <w:ind w:left="0" w:leftChars="0" w:firstLine="600" w:firstLineChars="200"/>
        <w:jc w:val="both"/>
        <w:textAlignment w:val="auto"/>
        <w:outlineLvl w:val="9"/>
      </w:pPr>
    </w:p>
    <w:p>
      <w:pPr>
        <w:keepNext w:val="0"/>
        <w:keepLines w:val="0"/>
        <w:pageBreakBefore w:val="0"/>
        <w:kinsoku/>
        <w:wordWrap/>
        <w:overflowPunct/>
        <w:topLinePunct w:val="0"/>
        <w:bidi w:val="0"/>
        <w:snapToGrid/>
        <w:spacing w:line="560" w:lineRule="exact"/>
        <w:ind w:left="0" w:lef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10.05万元,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0.05</w:t>
      </w:r>
      <w:r>
        <w:rPr>
          <w:rFonts w:hint="eastAsia" w:ascii="仿宋_GB2312" w:eastAsia="仿宋_GB2312"/>
          <w:sz w:val="32"/>
          <w:szCs w:val="32"/>
        </w:rPr>
        <w:t>万元，下降</w:t>
      </w:r>
      <w:r>
        <w:rPr>
          <w:rFonts w:hint="eastAsia" w:ascii="仿宋_GB2312" w:eastAsia="仿宋_GB2312"/>
          <w:sz w:val="32"/>
          <w:szCs w:val="32"/>
          <w:lang w:val="en-US" w:eastAsia="zh-CN"/>
        </w:rPr>
        <w:t>0.5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按照三公经费逐年递减原则缩减经费支出</w:t>
      </w:r>
      <w:r>
        <w:rPr>
          <w:rFonts w:hint="eastAsia" w:ascii="仿宋_GB2312" w:eastAsia="仿宋_GB2312"/>
          <w:sz w:val="32"/>
          <w:szCs w:val="32"/>
        </w:rPr>
        <w:t>。</w:t>
      </w:r>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ascii="仿宋_GB2312" w:eastAsia="仿宋_GB2312"/>
          <w:b/>
          <w:sz w:val="32"/>
          <w:szCs w:val="32"/>
        </w:rPr>
      </w:pPr>
      <w:r>
        <w:rPr>
          <w:rFonts w:hint="eastAsia" w:ascii="仿宋_GB2312" w:eastAsia="仿宋_GB2312"/>
          <w:sz w:val="32"/>
          <w:szCs w:val="32"/>
        </w:rPr>
        <w:t>其中：截至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w:t>
      </w:r>
    </w:p>
    <w:p>
      <w:pPr>
        <w:keepNext w:val="0"/>
        <w:keepLines w:val="0"/>
        <w:pageBreakBefore w:val="0"/>
        <w:kinsoku/>
        <w:wordWrap/>
        <w:overflowPunct/>
        <w:topLinePunct w:val="0"/>
        <w:bidi w:val="0"/>
        <w:snapToGrid/>
        <w:spacing w:line="560" w:lineRule="exact"/>
        <w:ind w:left="0" w:leftChars="0" w:firstLine="643" w:firstLineChars="200"/>
        <w:jc w:val="both"/>
        <w:textAlignment w:val="auto"/>
        <w:outlineLvl w:val="9"/>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10.05</w:t>
      </w:r>
      <w:r>
        <w:rPr>
          <w:rFonts w:hint="eastAsia" w:ascii="仿宋_GB2312" w:eastAsia="仿宋_GB2312"/>
          <w:sz w:val="32"/>
          <w:szCs w:val="32"/>
        </w:rPr>
        <w:t>万元</w:t>
      </w:r>
      <w:r>
        <w:rPr>
          <w:rFonts w:hint="eastAsia" w:ascii="仿宋_GB2312" w:eastAsia="仿宋_GB2312"/>
          <w:b/>
          <w:bCs/>
          <w:sz w:val="32"/>
          <w:szCs w:val="32"/>
        </w:rPr>
        <w:t>。</w:t>
      </w:r>
      <w:r>
        <w:rPr>
          <w:rFonts w:hint="eastAsia" w:ascii="仿宋_GB2312" w:eastAsia="仿宋_GB2312"/>
          <w:sz w:val="32"/>
          <w:szCs w:val="32"/>
        </w:rPr>
        <w:t>主要用于</w:t>
      </w:r>
      <w:r>
        <w:rPr>
          <w:rFonts w:hint="eastAsia" w:ascii="仿宋_GB2312" w:eastAsia="仿宋_GB2312"/>
          <w:sz w:val="32"/>
          <w:szCs w:val="32"/>
          <w:lang w:eastAsia="zh-CN"/>
        </w:rPr>
        <w:t>公务活动、</w:t>
      </w:r>
      <w:r>
        <w:rPr>
          <w:rFonts w:hint="eastAsia" w:ascii="仿宋" w:hAnsi="仿宋" w:eastAsia="仿宋" w:cs="仿宋"/>
          <w:sz w:val="32"/>
          <w:szCs w:val="32"/>
        </w:rPr>
        <w:t>开会</w:t>
      </w:r>
      <w:r>
        <w:rPr>
          <w:rFonts w:hint="eastAsia" w:ascii="仿宋" w:hAnsi="仿宋" w:eastAsia="仿宋" w:cs="仿宋"/>
          <w:sz w:val="32"/>
          <w:szCs w:val="32"/>
          <w:lang w:eastAsia="zh-CN"/>
        </w:rPr>
        <w:t>、</w:t>
      </w:r>
      <w:r>
        <w:rPr>
          <w:rFonts w:hint="eastAsia" w:ascii="仿宋" w:hAnsi="仿宋" w:eastAsia="仿宋" w:cs="仿宋"/>
          <w:sz w:val="32"/>
          <w:szCs w:val="32"/>
        </w:rPr>
        <w:t>下村</w:t>
      </w:r>
      <w:r>
        <w:rPr>
          <w:rFonts w:hint="eastAsia" w:ascii="仿宋_GB2312" w:eastAsia="仿宋_GB2312"/>
          <w:sz w:val="32"/>
          <w:szCs w:val="32"/>
        </w:rPr>
        <w:t>等所需的公务用车燃料费、维修费、过路过桥费、保险费等支出。</w:t>
      </w:r>
    </w:p>
    <w:p>
      <w:pPr>
        <w:keepNext w:val="0"/>
        <w:keepLines w:val="0"/>
        <w:pageBreakBefore w:val="0"/>
        <w:kinsoku/>
        <w:wordWrap/>
        <w:overflowPunct/>
        <w:topLinePunct w:val="0"/>
        <w:bidi w:val="0"/>
        <w:snapToGrid/>
        <w:spacing w:line="560" w:lineRule="exact"/>
        <w:ind w:left="0" w:leftChars="0" w:firstLine="643" w:firstLineChars="200"/>
        <w:jc w:val="both"/>
        <w:textAlignment w:val="auto"/>
        <w:outlineLvl w:val="9"/>
        <w:rPr>
          <w:rFonts w:ascii="仿宋_GB2312" w:eastAsia="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lang w:eastAsia="zh-CN"/>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11.75万元</w:t>
      </w:r>
      <w:r>
        <w:rPr>
          <w:rFonts w:hint="eastAsia" w:ascii="仿宋_GB2312" w:eastAsia="仿宋_GB2312"/>
          <w:sz w:val="32"/>
          <w:szCs w:val="32"/>
        </w:rPr>
        <w:t>，</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0.05</w:t>
      </w:r>
      <w:r>
        <w:rPr>
          <w:rFonts w:hint="eastAsia" w:ascii="仿宋_GB2312" w:eastAsia="仿宋_GB2312"/>
          <w:sz w:val="32"/>
          <w:szCs w:val="32"/>
        </w:rPr>
        <w:t>万元，下降</w:t>
      </w:r>
      <w:r>
        <w:rPr>
          <w:rFonts w:hint="eastAsia" w:ascii="仿宋_GB2312" w:eastAsia="仿宋_GB2312"/>
          <w:sz w:val="32"/>
          <w:szCs w:val="32"/>
          <w:lang w:val="en-US" w:eastAsia="zh-CN"/>
        </w:rPr>
        <w:t>0.42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按照三公经费逐年递减原则缩减经费支出</w:t>
      </w:r>
      <w:r>
        <w:rPr>
          <w:rFonts w:hint="eastAsia" w:ascii="仿宋_GB2312" w:eastAsia="仿宋_GB2312"/>
          <w:sz w:val="32"/>
          <w:szCs w:val="32"/>
        </w:rPr>
        <w:t>。</w:t>
      </w:r>
    </w:p>
    <w:p>
      <w:pPr>
        <w:keepNext w:val="0"/>
        <w:keepLines w:val="0"/>
        <w:pageBreakBefore w:val="0"/>
        <w:kinsoku/>
        <w:wordWrap/>
        <w:overflowPunct/>
        <w:topLinePunct w:val="0"/>
        <w:bidi w:val="0"/>
        <w:snapToGrid/>
        <w:spacing w:line="560" w:lineRule="exact"/>
        <w:ind w:left="0" w:leftChars="0" w:firstLine="643" w:firstLineChars="200"/>
        <w:jc w:val="both"/>
        <w:textAlignment w:val="auto"/>
        <w:outlineLvl w:val="9"/>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11.75</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302</w:t>
      </w:r>
      <w:r>
        <w:rPr>
          <w:rFonts w:hint="eastAsia" w:ascii="仿宋_GB2312" w:eastAsia="仿宋_GB2312"/>
          <w:sz w:val="32"/>
          <w:szCs w:val="32"/>
        </w:rPr>
        <w:t>批次，</w:t>
      </w:r>
      <w:r>
        <w:rPr>
          <w:rFonts w:hint="eastAsia" w:ascii="仿宋_GB2312" w:eastAsia="仿宋_GB2312"/>
          <w:sz w:val="32"/>
          <w:szCs w:val="32"/>
          <w:lang w:val="en-US" w:eastAsia="zh-CN"/>
        </w:rPr>
        <w:t>1,578</w:t>
      </w:r>
      <w:r>
        <w:rPr>
          <w:rFonts w:hint="eastAsia" w:ascii="仿宋_GB2312" w:eastAsia="仿宋_GB2312"/>
          <w:sz w:val="32"/>
          <w:szCs w:val="32"/>
        </w:rPr>
        <w:t>人次</w:t>
      </w:r>
      <w:r>
        <w:rPr>
          <w:rFonts w:hint="eastAsia" w:ascii="仿宋_GB2312" w:eastAsia="仿宋_GB2312"/>
          <w:sz w:val="32"/>
          <w:szCs w:val="32"/>
          <w:lang w:eastAsia="zh-CN"/>
        </w:rPr>
        <w:t>，</w:t>
      </w:r>
      <w:r>
        <w:rPr>
          <w:rFonts w:hint="eastAsia" w:ascii="仿宋_GB2312" w:eastAsia="仿宋_GB2312"/>
          <w:color w:val="000000"/>
          <w:sz w:val="32"/>
          <w:szCs w:val="32"/>
          <w:lang w:val="en-US" w:eastAsia="zh-CN"/>
        </w:rPr>
        <w:t>具体内容包括：各级领导到镇指导工作，镇与镇之间交叉交流等</w:t>
      </w:r>
      <w:r>
        <w:rPr>
          <w:rFonts w:hint="eastAsia" w:ascii="仿宋_GB2312" w:eastAsia="仿宋_GB2312"/>
          <w:sz w:val="32"/>
          <w:szCs w:val="32"/>
        </w:rPr>
        <w:t>。</w:t>
      </w:r>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ascii="黑体" w:eastAsia="黑体"/>
          <w:sz w:val="32"/>
          <w:szCs w:val="32"/>
        </w:rPr>
      </w:pPr>
      <w:bookmarkStart w:id="54" w:name="_Toc15396610"/>
      <w:bookmarkStart w:id="55" w:name="_Toc15377218"/>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54"/>
      <w:bookmarkEnd w:id="55"/>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396.40</w:t>
      </w:r>
      <w:r>
        <w:rPr>
          <w:rFonts w:hint="eastAsia" w:ascii="仿宋_GB2312" w:eastAsia="仿宋_GB2312"/>
          <w:sz w:val="32"/>
          <w:szCs w:val="32"/>
        </w:rPr>
        <w:t>万元。</w:t>
      </w:r>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ascii="仿宋_GB2312" w:eastAsia="仿宋_GB2312"/>
          <w:sz w:val="32"/>
          <w:szCs w:val="32"/>
        </w:rPr>
      </w:pPr>
    </w:p>
    <w:p>
      <w:pPr>
        <w:keepNext w:val="0"/>
        <w:keepLines w:val="0"/>
        <w:pageBreakBefore w:val="0"/>
        <w:numPr>
          <w:ilvl w:val="0"/>
          <w:numId w:val="3"/>
        </w:numPr>
        <w:kinsoku/>
        <w:wordWrap/>
        <w:overflowPunct/>
        <w:topLinePunct w:val="0"/>
        <w:bidi w:val="0"/>
        <w:snapToGrid/>
        <w:spacing w:line="560" w:lineRule="exact"/>
        <w:ind w:left="0" w:leftChars="0" w:firstLine="640" w:firstLineChars="200"/>
        <w:jc w:val="both"/>
        <w:textAlignment w:val="auto"/>
        <w:outlineLvl w:val="9"/>
        <w:rPr>
          <w:rStyle w:val="25"/>
          <w:rFonts w:ascii="黑体" w:hAnsi="黑体" w:eastAsia="黑体"/>
          <w:b w:val="0"/>
        </w:rPr>
      </w:pPr>
      <w:bookmarkStart w:id="56" w:name="_Toc15396611"/>
      <w:bookmarkStart w:id="57" w:name="_Toc15377219"/>
      <w:r>
        <w:rPr>
          <w:rStyle w:val="25"/>
          <w:rFonts w:hint="eastAsia" w:ascii="黑体" w:hAnsi="黑体" w:eastAsia="黑体"/>
          <w:b w:val="0"/>
        </w:rPr>
        <w:t>国有资本经营预算支出决算情况说明</w:t>
      </w:r>
      <w:bookmarkEnd w:id="56"/>
      <w:bookmarkEnd w:id="57"/>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0.00</w:t>
      </w:r>
      <w:r>
        <w:rPr>
          <w:rFonts w:hint="eastAsia" w:ascii="仿宋_GB2312" w:eastAsia="仿宋_GB2312"/>
          <w:sz w:val="32"/>
          <w:szCs w:val="32"/>
        </w:rPr>
        <w:t>万元。</w:t>
      </w:r>
    </w:p>
    <w:p>
      <w:pPr>
        <w:keepNext w:val="0"/>
        <w:keepLines w:val="0"/>
        <w:pageBreakBefore w:val="0"/>
        <w:kinsoku/>
        <w:wordWrap/>
        <w:overflowPunct/>
        <w:topLinePunct w:val="0"/>
        <w:bidi w:val="0"/>
        <w:snapToGrid/>
        <w:spacing w:line="560" w:lineRule="exact"/>
        <w:ind w:left="0" w:leftChars="0" w:firstLine="880" w:firstLineChars="200"/>
        <w:jc w:val="both"/>
        <w:textAlignment w:val="auto"/>
        <w:outlineLvl w:val="9"/>
        <w:rPr>
          <w:rFonts w:ascii="方正小标宋简体" w:hAnsi="方正小标宋简体" w:eastAsia="方正小标宋简体" w:cs="方正小标宋简体"/>
          <w:sz w:val="44"/>
          <w:szCs w:val="44"/>
        </w:rPr>
      </w:pPr>
    </w:p>
    <w:p>
      <w:pPr>
        <w:keepNext w:val="0"/>
        <w:keepLines w:val="0"/>
        <w:pageBreakBefore w:val="0"/>
        <w:numPr>
          <w:ilvl w:val="0"/>
          <w:numId w:val="3"/>
        </w:numPr>
        <w:kinsoku/>
        <w:wordWrap/>
        <w:overflowPunct/>
        <w:topLinePunct w:val="0"/>
        <w:bidi w:val="0"/>
        <w:snapToGrid/>
        <w:spacing w:line="560" w:lineRule="exact"/>
        <w:ind w:left="0" w:leftChars="0" w:firstLine="640" w:firstLineChars="200"/>
        <w:jc w:val="both"/>
        <w:textAlignment w:val="auto"/>
        <w:outlineLvl w:val="9"/>
        <w:rPr>
          <w:rStyle w:val="25"/>
          <w:rFonts w:ascii="黑体" w:hAnsi="黑体" w:eastAsia="黑体"/>
          <w:b w:val="0"/>
        </w:rPr>
      </w:pPr>
      <w:bookmarkStart w:id="58" w:name="_Toc15396612"/>
      <w:bookmarkStart w:id="59" w:name="_Toc15377221"/>
      <w:r>
        <w:rPr>
          <w:rStyle w:val="25"/>
          <w:rFonts w:hint="eastAsia" w:ascii="黑体" w:hAnsi="黑体" w:eastAsia="黑体"/>
          <w:b w:val="0"/>
        </w:rPr>
        <w:t>其他重要事项的情况说明</w:t>
      </w:r>
      <w:bookmarkEnd w:id="58"/>
      <w:bookmarkEnd w:id="59"/>
    </w:p>
    <w:p>
      <w:pPr>
        <w:keepNext w:val="0"/>
        <w:keepLines w:val="0"/>
        <w:pageBreakBefore w:val="0"/>
        <w:kinsoku/>
        <w:wordWrap/>
        <w:overflowPunct/>
        <w:topLinePunct w:val="0"/>
        <w:autoSpaceDE w:val="0"/>
        <w:autoSpaceDN w:val="0"/>
        <w:bidi w:val="0"/>
        <w:adjustRightInd w:val="0"/>
        <w:snapToGrid/>
        <w:spacing w:line="560" w:lineRule="exact"/>
        <w:ind w:left="0" w:leftChars="0" w:firstLine="643" w:firstLineChars="200"/>
        <w:jc w:val="both"/>
        <w:textAlignment w:val="auto"/>
        <w:outlineLvl w:val="9"/>
        <w:rPr>
          <w:rFonts w:ascii="仿宋" w:hAnsi="仿宋" w:eastAsia="仿宋"/>
          <w:b/>
          <w:sz w:val="32"/>
          <w:szCs w:val="32"/>
        </w:rPr>
      </w:pPr>
      <w:bookmarkStart w:id="60" w:name="_Toc15377223"/>
      <w:r>
        <w:rPr>
          <w:rFonts w:hint="eastAsia" w:ascii="仿宋" w:hAnsi="仿宋" w:eastAsia="仿宋"/>
          <w:b/>
          <w:sz w:val="32"/>
          <w:szCs w:val="32"/>
        </w:rPr>
        <w:t>（</w:t>
      </w:r>
      <w:r>
        <w:rPr>
          <w:rFonts w:hint="eastAsia" w:ascii="仿宋" w:hAnsi="仿宋" w:eastAsia="仿宋"/>
          <w:b/>
          <w:sz w:val="32"/>
          <w:szCs w:val="32"/>
          <w:lang w:eastAsia="zh-CN"/>
        </w:rPr>
        <w:t>一</w:t>
      </w:r>
      <w:r>
        <w:rPr>
          <w:rFonts w:hint="eastAsia" w:ascii="仿宋" w:hAnsi="仿宋" w:eastAsia="仿宋"/>
          <w:b/>
          <w:sz w:val="32"/>
          <w:szCs w:val="32"/>
        </w:rPr>
        <w:t>）政府采购支出情况</w:t>
      </w:r>
      <w:bookmarkEnd w:id="60"/>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ascii="仿宋_GB2312" w:eastAsia="仿宋_GB2312"/>
          <w:sz w:val="32"/>
          <w:szCs w:val="32"/>
          <w:highlight w:val="none"/>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百和镇</w:t>
      </w:r>
      <w:r>
        <w:rPr>
          <w:rFonts w:hint="eastAsia" w:ascii="仿宋_GB2312" w:eastAsia="仿宋_GB2312"/>
          <w:sz w:val="32"/>
          <w:szCs w:val="32"/>
        </w:rPr>
        <w:t>政府采购支出总额</w:t>
      </w:r>
      <w:r>
        <w:rPr>
          <w:rFonts w:hint="eastAsia" w:ascii="仿宋_GB2312" w:eastAsia="仿宋_GB2312"/>
          <w:sz w:val="32"/>
          <w:szCs w:val="32"/>
          <w:lang w:val="en-US" w:eastAsia="zh-CN"/>
        </w:rPr>
        <w:t>125.53</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125.53</w:t>
      </w:r>
      <w:r>
        <w:rPr>
          <w:rFonts w:hint="eastAsia" w:ascii="仿宋_GB2312" w:eastAsia="仿宋_GB2312"/>
          <w:sz w:val="32"/>
          <w:szCs w:val="32"/>
        </w:rPr>
        <w:t>万元</w:t>
      </w:r>
      <w:r>
        <w:rPr>
          <w:rFonts w:hint="eastAsia" w:ascii="仿宋_GB2312" w:eastAsia="仿宋_GB2312"/>
          <w:sz w:val="32"/>
          <w:szCs w:val="32"/>
          <w:highlight w:val="none"/>
        </w:rPr>
        <w:t>主要用于</w:t>
      </w:r>
      <w:r>
        <w:rPr>
          <w:rFonts w:hint="eastAsia" w:ascii="仿宋_GB2312" w:eastAsia="仿宋_GB2312"/>
          <w:sz w:val="32"/>
          <w:szCs w:val="32"/>
          <w:highlight w:val="none"/>
          <w:lang w:eastAsia="zh-CN"/>
        </w:rPr>
        <w:t>百和镇道路清扫保洁及生活垃圾运转处理等</w:t>
      </w: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125.53</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100.00</w:t>
      </w:r>
      <w:r>
        <w:rPr>
          <w:rFonts w:ascii="仿宋_GB2312" w:eastAsia="仿宋_GB2312"/>
          <w:sz w:val="32"/>
          <w:szCs w:val="32"/>
          <w:highlight w:val="none"/>
        </w:rPr>
        <w:t>%</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125.53</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100.00</w:t>
      </w:r>
      <w:r>
        <w:rPr>
          <w:rFonts w:ascii="仿宋_GB2312" w:eastAsia="仿宋_GB2312"/>
          <w:sz w:val="32"/>
          <w:szCs w:val="32"/>
          <w:highlight w:val="none"/>
        </w:rPr>
        <w:t>%</w:t>
      </w:r>
      <w:r>
        <w:rPr>
          <w:rFonts w:hint="eastAsia" w:ascii="仿宋_GB2312" w:eastAsia="仿宋_GB2312"/>
          <w:sz w:val="32"/>
          <w:szCs w:val="32"/>
          <w:highlight w:val="none"/>
        </w:rPr>
        <w:t>。</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3" w:firstLineChars="200"/>
        <w:jc w:val="both"/>
        <w:textAlignment w:val="auto"/>
        <w:outlineLvl w:val="9"/>
        <w:rPr>
          <w:rFonts w:ascii="仿宋" w:hAnsi="仿宋" w:eastAsia="仿宋"/>
          <w:b/>
          <w:sz w:val="32"/>
          <w:szCs w:val="32"/>
        </w:rPr>
      </w:pPr>
      <w:bookmarkStart w:id="61" w:name="_Toc15377224"/>
      <w:r>
        <w:rPr>
          <w:rFonts w:hint="eastAsia" w:ascii="仿宋" w:hAnsi="仿宋" w:eastAsia="仿宋"/>
          <w:b/>
          <w:sz w:val="32"/>
          <w:szCs w:val="32"/>
        </w:rPr>
        <w:t>（三）国有资产占有使用情况</w:t>
      </w:r>
      <w:bookmarkEnd w:id="61"/>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百和镇</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辆，其中：应急保障用车</w:t>
      </w:r>
      <w:r>
        <w:rPr>
          <w:rFonts w:hint="eastAsia" w:ascii="仿宋_GB2312" w:eastAsia="仿宋_GB2312"/>
          <w:sz w:val="32"/>
          <w:szCs w:val="32"/>
          <w:lang w:val="en-US" w:eastAsia="zh-CN"/>
        </w:rPr>
        <w:t>1</w:t>
      </w:r>
      <w:r>
        <w:rPr>
          <w:rFonts w:hint="eastAsia" w:ascii="仿宋_GB2312" w:eastAsia="仿宋_GB2312"/>
          <w:sz w:val="32"/>
          <w:szCs w:val="32"/>
        </w:rPr>
        <w:t>辆。</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3" w:firstLineChars="200"/>
        <w:jc w:val="both"/>
        <w:textAlignment w:val="auto"/>
        <w:outlineLvl w:val="9"/>
        <w:rPr>
          <w:rFonts w:ascii="仿宋" w:hAnsi="仿宋" w:eastAsia="仿宋"/>
          <w:b/>
          <w:sz w:val="32"/>
          <w:szCs w:val="32"/>
        </w:rPr>
      </w:pPr>
      <w:r>
        <w:rPr>
          <w:rFonts w:hint="eastAsia" w:ascii="仿宋" w:hAnsi="仿宋" w:eastAsia="仿宋"/>
          <w:b/>
          <w:sz w:val="32"/>
          <w:szCs w:val="32"/>
        </w:rPr>
        <w:t>（四）预算绩效管理情况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按照省、市、县相关会议精神，坚持保运转、保稳定、促发展的要求，扎实推动民生事业等方面重点工作，实现提高财政资金使用效益的目标，将有限的资金重点放在改善民生事业上，为人民当好家理好财，努力发挥项目的经济和社会效益，提高人民群众对财政资金使用的满意度。按照预算绩效管理要求，本部门对20</w:t>
      </w:r>
      <w:r>
        <w:rPr>
          <w:rFonts w:hint="eastAsia" w:ascii="仿宋" w:hAnsi="仿宋" w:eastAsia="仿宋" w:cs="仿宋"/>
          <w:sz w:val="32"/>
          <w:szCs w:val="32"/>
          <w:lang w:val="en-US" w:eastAsia="zh-CN"/>
        </w:rPr>
        <w:t>21</w:t>
      </w:r>
      <w:r>
        <w:rPr>
          <w:rFonts w:hint="eastAsia" w:ascii="仿宋" w:hAnsi="仿宋" w:eastAsia="仿宋" w:cs="仿宋"/>
          <w:sz w:val="32"/>
          <w:szCs w:val="32"/>
        </w:rPr>
        <w:t xml:space="preserve">年一般公共预算项目支出开展了绩效目标管理。 </w:t>
      </w:r>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napToGrid/>
        <w:spacing w:line="560" w:lineRule="exact"/>
        <w:ind w:left="0" w:leftChars="0" w:firstLine="643" w:firstLineChars="200"/>
        <w:jc w:val="both"/>
        <w:textAlignment w:val="auto"/>
        <w:outlineLvl w:val="9"/>
        <w:rPr>
          <w:rFonts w:ascii="仿宋_GB2312" w:eastAsia="仿宋_GB2312"/>
          <w:b/>
          <w:sz w:val="32"/>
          <w:szCs w:val="32"/>
        </w:rPr>
      </w:pPr>
      <w:r>
        <w:rPr>
          <w:rFonts w:ascii="仿宋_GB2312" w:eastAsia="仿宋_GB2312"/>
          <w:b/>
          <w:sz w:val="32"/>
          <w:szCs w:val="32"/>
        </w:rPr>
        <w:br w:type="page"/>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880" w:firstLineChars="200"/>
        <w:jc w:val="both"/>
        <w:textAlignment w:val="auto"/>
        <w:outlineLvl w:val="9"/>
        <w:rPr>
          <w:rStyle w:val="24"/>
          <w:rFonts w:ascii="黑体" w:hAnsi="黑体" w:eastAsia="黑体"/>
          <w:b w:val="0"/>
        </w:rPr>
      </w:pPr>
      <w:bookmarkStart w:id="62" w:name="_Toc15396613"/>
      <w:bookmarkStart w:id="63" w:name="_Toc15377225"/>
      <w:r>
        <w:rPr>
          <w:rFonts w:hint="eastAsia" w:ascii="黑体" w:hAnsi="黑体" w:eastAsia="黑体"/>
          <w:sz w:val="44"/>
          <w:szCs w:val="44"/>
        </w:rPr>
        <w:t>名</w:t>
      </w:r>
      <w:r>
        <w:rPr>
          <w:rStyle w:val="24"/>
          <w:rFonts w:hint="eastAsia" w:ascii="黑体" w:hAnsi="黑体" w:eastAsia="黑体"/>
          <w:b w:val="0"/>
        </w:rPr>
        <w:t>词解释</w:t>
      </w:r>
      <w:bookmarkEnd w:id="62"/>
      <w:bookmarkEnd w:id="63"/>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both"/>
        <w:textAlignment w:val="auto"/>
        <w:outlineLvl w:val="9"/>
        <w:rPr>
          <w:rFonts w:ascii="宋体"/>
          <w:b/>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1.财政拨款收入：</w:t>
      </w:r>
      <w:r>
        <w:rPr>
          <w:rFonts w:hint="eastAsia" w:ascii="仿宋" w:hAnsi="仿宋" w:eastAsia="仿宋" w:cs="仿宋"/>
          <w:sz w:val="32"/>
          <w:szCs w:val="32"/>
        </w:rPr>
        <w:t xml:space="preserve">指单位从同级财政部门取得的财政预算资金。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2.事业收入：</w:t>
      </w:r>
      <w:r>
        <w:rPr>
          <w:rFonts w:hint="eastAsia" w:ascii="仿宋" w:hAnsi="仿宋" w:eastAsia="仿宋" w:cs="仿宋"/>
          <w:sz w:val="32"/>
          <w:szCs w:val="32"/>
        </w:rPr>
        <w:t xml:space="preserve">指事业单位开展专业业务活动及辅助活动取得的收入。如二级预算单位事业收入情况等。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3.经营收入：</w:t>
      </w:r>
      <w:r>
        <w:rPr>
          <w:rFonts w:hint="eastAsia" w:ascii="仿宋" w:hAnsi="仿宋" w:eastAsia="仿宋" w:cs="仿宋"/>
          <w:sz w:val="32"/>
          <w:szCs w:val="32"/>
        </w:rPr>
        <w:t xml:space="preserve">指事业单位在专业业务活动及其辅助活动之外开展非独立核算经营活动取得的收入。如二级预算单位经营收入情况等。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4.其他收入：</w:t>
      </w:r>
      <w:r>
        <w:rPr>
          <w:rFonts w:hint="eastAsia" w:ascii="仿宋" w:hAnsi="仿宋" w:eastAsia="仿宋" w:cs="仿宋"/>
          <w:sz w:val="32"/>
          <w:szCs w:val="32"/>
        </w:rPr>
        <w:t xml:space="preserve">指单位取得的除上述收入以外的各项收入。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5.使用非财政拨款结余：</w:t>
      </w:r>
      <w:r>
        <w:rPr>
          <w:rFonts w:hint="eastAsia" w:ascii="仿宋" w:hAnsi="仿宋" w:eastAsia="仿宋" w:cs="仿宋"/>
          <w:sz w:val="32"/>
          <w:szCs w:val="32"/>
        </w:rPr>
        <w:t xml:space="preserve">指事业单位使用以前年度积累的非财政拨款结余弥补当年收支差额的金额。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6.年初结转和结余：</w:t>
      </w:r>
      <w:r>
        <w:rPr>
          <w:rFonts w:hint="eastAsia" w:ascii="仿宋" w:hAnsi="仿宋" w:eastAsia="仿宋" w:cs="仿宋"/>
          <w:sz w:val="32"/>
          <w:szCs w:val="32"/>
        </w:rPr>
        <w:t xml:space="preserve">指以前年度尚未完成、结转到本年按有关规定继续使用的资金。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7.结余分配：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8</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年末结转和结余：</w:t>
      </w:r>
      <w:r>
        <w:rPr>
          <w:rFonts w:hint="eastAsia" w:ascii="仿宋" w:hAnsi="仿宋" w:eastAsia="仿宋" w:cs="仿宋"/>
          <w:sz w:val="32"/>
          <w:szCs w:val="32"/>
        </w:rPr>
        <w:t xml:space="preserve">指单位按有关规定结转到下年或以后年度继续使用的资金。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9.基本支出：</w:t>
      </w:r>
      <w:r>
        <w:rPr>
          <w:rFonts w:hint="eastAsia" w:ascii="仿宋" w:hAnsi="仿宋" w:eastAsia="仿宋" w:cs="仿宋"/>
          <w:sz w:val="32"/>
          <w:szCs w:val="32"/>
        </w:rPr>
        <w:t>指为保障机构正常运转、完成日常工作任务而发生的人员支出和公用支出。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10.项目支出：</w:t>
      </w:r>
      <w:r>
        <w:rPr>
          <w:rFonts w:hint="eastAsia" w:ascii="仿宋" w:hAnsi="仿宋" w:eastAsia="仿宋" w:cs="仿宋"/>
          <w:sz w:val="32"/>
          <w:szCs w:val="32"/>
        </w:rPr>
        <w:t xml:space="preserve">指在基本支出之外为完成特定行政任务和事业发展目标所发生的支出。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11.经营支出：</w:t>
      </w:r>
      <w:r>
        <w:rPr>
          <w:rFonts w:hint="eastAsia" w:ascii="仿宋" w:hAnsi="仿宋" w:eastAsia="仿宋" w:cs="仿宋"/>
          <w:sz w:val="32"/>
          <w:szCs w:val="32"/>
        </w:rPr>
        <w:t xml:space="preserve">指事业单位在专业业务活动及其辅助活动之外开展非独立核算经营活动发生的支出。  </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12.“三公”经费：</w:t>
      </w:r>
      <w:r>
        <w:rPr>
          <w:rFonts w:hint="eastAsia" w:ascii="仿宋" w:hAnsi="仿宋" w:eastAsia="仿宋" w:cs="仿宋"/>
          <w:sz w:val="32"/>
          <w:szCs w:val="32"/>
        </w:rPr>
        <w:t xml:space="preserve">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13.机关运行经费：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14</w:t>
      </w:r>
      <w:r>
        <w:rPr>
          <w:rFonts w:hint="eastAsia" w:ascii="仿宋" w:hAnsi="仿宋" w:eastAsia="仿宋" w:cs="仿宋"/>
          <w:b/>
          <w:bCs/>
          <w:sz w:val="32"/>
          <w:szCs w:val="32"/>
        </w:rPr>
        <w:t>.一般公共服务：</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反映政府提供一般公共服务的支出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15.外交支出：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反映政府外交事务支出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16.公共安全支出：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反映政府维护社会公共安全方面的支出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17.教育支出：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反映政府教育事务支出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18.科学技术支出：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反映科学技术方面的支出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19.文化体育与传媒支出：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反映政府在文化、文物、体育、广播影视、新闻出版等方面的支出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20.社会保障和就业支出：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反映政府在社会保障与就业方面的支出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21.医疗卫生与计划生育支出：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反映政府医疗卫生与计划生育管理方面的支出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22.节能环保支出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反映政府节能环保支出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23.城乡社区支出：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反映政府城乡社区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24.农林水支出：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反映政府农林水事务支出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25.交通运输支出：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反映交通运输和邮政业方面的支出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26.资源勘探信息等支出：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反映用于资源勘探、制造业、建筑业、工业信息等方面的支出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27.商业服务业等支出：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反映商业服务业等方面的支出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28.金融支出：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反映金融方面的支出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29.国土海洋气象等支出：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反映政府用于国土资源、海洋、测绘、地震、气象等公益服务事业方面的支出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30.住房保障支出：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集中反映政府用于住房方面的支出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31.粮油物资储备支出：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反映政府用于粮油物资储备方面的支出</w:t>
      </w:r>
      <w:r>
        <w:rPr>
          <w:rFonts w:hint="eastAsia" w:ascii="仿宋_GB2312" w:eastAsia="仿宋_GB2312"/>
          <w:color w:val="000000"/>
          <w:sz w:val="32"/>
          <w:szCs w:val="32"/>
        </w:rPr>
        <w:t>。</w:t>
      </w:r>
      <w:r>
        <w:rPr>
          <w:rFonts w:hint="eastAsia" w:ascii="仿宋" w:hAnsi="仿宋" w:eastAsia="仿宋" w:cs="仿宋"/>
          <w:sz w:val="32"/>
          <w:szCs w:val="32"/>
        </w:rPr>
        <w:t xml:space="preserve"> </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spacing w:line="560" w:lineRule="exact"/>
        <w:jc w:val="center"/>
        <w:textAlignment w:val="auto"/>
        <w:outlineLvl w:val="9"/>
        <w:rPr>
          <w:rStyle w:val="24"/>
          <w:rFonts w:hint="eastAsia" w:ascii="黑体" w:hAnsi="黑体" w:eastAsia="黑体"/>
          <w:b w:val="0"/>
        </w:rPr>
      </w:pPr>
      <w:bookmarkStart w:id="64" w:name="_Toc15396614"/>
      <w:bookmarkStart w:id="65" w:name="_Toc15377226"/>
      <w:r>
        <w:rPr>
          <w:rStyle w:val="24"/>
          <w:rFonts w:hint="eastAsia" w:ascii="黑体" w:hAnsi="黑体" w:eastAsia="黑体"/>
          <w:b w:val="0"/>
          <w:lang w:eastAsia="zh-CN"/>
        </w:rPr>
        <w:t>第四部分</w:t>
      </w:r>
      <w:r>
        <w:rPr>
          <w:rStyle w:val="24"/>
          <w:rFonts w:hint="eastAsia" w:ascii="黑体" w:hAnsi="黑体" w:eastAsia="黑体"/>
          <w:b w:val="0"/>
          <w:lang w:val="en-US" w:eastAsia="zh-CN"/>
        </w:rPr>
        <w:t xml:space="preserve">  </w:t>
      </w:r>
      <w:r>
        <w:rPr>
          <w:rStyle w:val="24"/>
          <w:rFonts w:hint="eastAsia" w:ascii="黑体" w:hAnsi="黑体" w:eastAsia="黑体"/>
          <w:b w:val="0"/>
        </w:rPr>
        <w:t>附件</w:t>
      </w:r>
      <w:bookmarkEnd w:id="64"/>
    </w:p>
    <w:p>
      <w:pPr>
        <w:pStyle w:val="2"/>
        <w:keepNext w:val="0"/>
        <w:keepLines w:val="0"/>
        <w:pageBreakBefore w:val="0"/>
        <w:numPr>
          <w:ilvl w:val="0"/>
          <w:numId w:val="0"/>
        </w:numPr>
        <w:kinsoku/>
        <w:wordWrap/>
        <w:overflowPunct/>
        <w:topLinePunct w:val="0"/>
        <w:autoSpaceDE/>
        <w:autoSpaceDN/>
        <w:bidi w:val="0"/>
        <w:spacing w:beforeLines="0" w:line="560" w:lineRule="exact"/>
        <w:ind w:left="0" w:leftChars="0" w:firstLine="600" w:firstLineChars="200"/>
        <w:jc w:val="both"/>
        <w:textAlignment w:val="auto"/>
        <w:outlineLvl w:val="9"/>
      </w:pPr>
    </w:p>
    <w:p>
      <w:pPr>
        <w:keepNext w:val="0"/>
        <w:keepLines w:val="0"/>
        <w:pageBreakBefore w:val="0"/>
        <w:kinsoku/>
        <w:wordWrap/>
        <w:overflowPunct/>
        <w:topLinePunct w:val="0"/>
        <w:autoSpaceDE/>
        <w:autoSpaceDN/>
        <w:bidi w:val="0"/>
        <w:spacing w:line="56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2"/>
        <w:keepNext w:val="0"/>
        <w:keepLines w:val="0"/>
        <w:pageBreakBefore w:val="0"/>
        <w:kinsoku/>
        <w:wordWrap/>
        <w:overflowPunct/>
        <w:topLinePunct w:val="0"/>
        <w:autoSpaceDE/>
        <w:autoSpaceDN/>
        <w:bidi w:val="0"/>
        <w:spacing w:beforeLines="0" w:line="560" w:lineRule="exact"/>
        <w:ind w:left="0" w:leftChars="0" w:firstLine="600" w:firstLineChars="200"/>
        <w:jc w:val="both"/>
        <w:textAlignment w:val="auto"/>
        <w:outlineLvl w:val="9"/>
        <w:rPr>
          <w:rFonts w:hint="eastAsia"/>
          <w:lang w:val="en-US" w:eastAsia="zh-CN"/>
        </w:rPr>
      </w:pPr>
    </w:p>
    <w:p>
      <w:pPr>
        <w:keepNext w:val="0"/>
        <w:keepLines w:val="0"/>
        <w:pageBreakBefore w:val="0"/>
        <w:kinsoku/>
        <w:wordWrap/>
        <w:overflowPunct/>
        <w:topLinePunct w:val="0"/>
        <w:autoSpaceDE/>
        <w:autoSpaceDN/>
        <w:bidi w:val="0"/>
        <w:spacing w:line="560" w:lineRule="exact"/>
        <w:jc w:val="center"/>
        <w:textAlignment w:val="auto"/>
        <w:outlineLvl w:val="9"/>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eastAsia="zh-CN"/>
        </w:rPr>
        <w:t>百和镇</w:t>
      </w:r>
      <w:r>
        <w:rPr>
          <w:rFonts w:hint="eastAsia" w:ascii="方正小标宋简体" w:hAnsi="宋体" w:eastAsia="方正小标宋简体"/>
          <w:kern w:val="0"/>
          <w:sz w:val="40"/>
          <w:szCs w:val="44"/>
        </w:rPr>
        <w:t>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contextualSpacing/>
        <w:jc w:val="both"/>
        <w:textAlignment w:val="auto"/>
        <w:outlineLvl w:val="9"/>
        <w:rPr>
          <w:rFonts w:ascii="黑体" w:hAnsi="宋体" w:eastAsia="黑体" w:cs="宋体"/>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9"/>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（一）机构组成</w:t>
      </w:r>
    </w:p>
    <w:p>
      <w:pPr>
        <w:pStyle w:val="2"/>
        <w:keepNext w:val="0"/>
        <w:keepLines w:val="0"/>
        <w:pageBreakBefore w:val="0"/>
        <w:kinsoku/>
        <w:wordWrap/>
        <w:overflowPunct/>
        <w:topLinePunct w:val="0"/>
        <w:autoSpaceDE/>
        <w:autoSpaceDN/>
        <w:bidi w:val="0"/>
        <w:adjustRightInd w:val="0"/>
        <w:spacing w:beforeLines="0" w:line="560" w:lineRule="exact"/>
        <w:ind w:left="0" w:leftChars="0" w:firstLine="640" w:firstLineChars="200"/>
        <w:jc w:val="both"/>
        <w:textAlignment w:val="auto"/>
        <w:outlineLvl w:val="9"/>
        <w:rPr>
          <w:rFonts w:hint="eastAsia"/>
          <w:lang w:val="zh-CN"/>
        </w:rPr>
      </w:pPr>
      <w:r>
        <w:rPr>
          <w:rFonts w:hint="eastAsia" w:ascii="Times New Roman" w:hAnsi="Times New Roman" w:cs="Times New Roman"/>
          <w:b w:val="0"/>
          <w:bCs/>
          <w:sz w:val="32"/>
          <w:szCs w:val="32"/>
          <w:highlight w:val="none"/>
          <w:lang w:val="en-US" w:eastAsia="zh-CN"/>
        </w:rPr>
        <w:t>泸县百和镇人民政府</w:t>
      </w:r>
      <w:r>
        <w:rPr>
          <w:rFonts w:hint="default" w:ascii="Times New Roman" w:hAnsi="Times New Roman" w:eastAsia="仿宋_GB2312" w:cs="Times New Roman"/>
          <w:b w:val="0"/>
          <w:bCs/>
          <w:sz w:val="32"/>
          <w:szCs w:val="32"/>
          <w:highlight w:val="none"/>
          <w:lang w:eastAsia="zh-CN"/>
        </w:rPr>
        <w:t>下属一级预算单位</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个，其中行政单位</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个、参照公务员法管理的事业单位</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个、其他事业单位</w:t>
      </w:r>
      <w:r>
        <w:rPr>
          <w:rFonts w:hint="eastAsia" w:ascii="Times New Roman" w:hAnsi="Times New Roman" w:cs="Times New Roman"/>
          <w:b w:val="0"/>
          <w:bCs/>
          <w:sz w:val="32"/>
          <w:szCs w:val="32"/>
          <w:highlight w:val="none"/>
          <w:lang w:val="en-US" w:eastAsia="zh-CN"/>
        </w:rPr>
        <w:t>7</w:t>
      </w:r>
      <w:r>
        <w:rPr>
          <w:rFonts w:hint="default" w:ascii="Times New Roman" w:hAnsi="Times New Roman" w:eastAsia="仿宋_GB2312" w:cs="Times New Roman"/>
          <w:b w:val="0"/>
          <w:bCs/>
          <w:sz w:val="32"/>
          <w:szCs w:val="32"/>
          <w:highlight w:val="none"/>
          <w:lang w:eastAsia="zh-CN"/>
        </w:rPr>
        <w:t>个，主要包括</w:t>
      </w:r>
      <w:r>
        <w:rPr>
          <w:rFonts w:hint="eastAsia" w:ascii="Times New Roman" w:hAnsi="Times New Roman" w:cs="Times New Roman"/>
          <w:b w:val="0"/>
          <w:bCs/>
          <w:sz w:val="32"/>
          <w:szCs w:val="32"/>
          <w:highlight w:val="none"/>
          <w:lang w:val="en-US" w:eastAsia="zh-CN"/>
        </w:rPr>
        <w:t>泸县百和镇便民服务中心、泸县百和镇中心幼儿园、泸县百和镇百和中心小学校、泸县百和镇百和初级中学校、泸县百和镇五通中心小学校、泸县百和镇百和初级中学校、泸县百和镇土主学校。</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机构职能</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认真贯彻、宣传党和国家的路线、方针、政策和法律、法规、执行上级党组织和国家行政机关的决定、命令和指示；履行好宪法和法律赋予的职责和义务；保证党和国家的路线、方针、政策和法律、法规在本镇的贯彻落实。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科学制定本行政区域内的经济和各项社会事业发展的中长期规划和年度计划、并负责组织实施；稳定农村基本经济制度，营造良好的农村经济发展环境，搞好农村市场监督。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负责本镇、村、企业党的建设和村民委员会建设；负责搞好本镇党员、干部的党风廉政建设和政务、村务公开工作；负责领导本镇群团组织和民兵武装的工作；负责指导、协调管理本镇各事业单位的工作。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负责指导本镇农业产业结构的规划及调整，搞好农业技术的推广和完善工、贸、农服务体系建设，完成区委、区政府下达的工业、农业和第三产业的发展任务。</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负责搞好农村劳动力技能培训，引导农村劳动力转移和就业，不断提高社会主义新农村建设水平。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按照《中华人民共和国城镇规划法》赋予的职责，做好本行政区域的城镇、村的规划、建设、管理工作。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贯彻落实各项支农惠农政策，搞好农村土地的承包、流转、管理和耕地保护及农民负担监督管理、农村集体资产财务管理工作；搞好本镇、村、社的绿化和环境治理、保护以及交通、水利、公益设施的建设、维护等项工作。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负责本镇的民主法制建设和社会治安综合治理工作，做好各项民事纠纷的调解，化解农村社会矛盾，保障农民合法权益，维护农村社会稳定。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负责搞好本镇安全生产的监督、管理，提高对突发事件的预警和管理，建立健全各种应急机制。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负责搞好本镇的文化、体育、教育、卫生、科技、信息、广播、电影、电视、司法、民政、户籍、社会治安，劳动保障、民族、宗教等项工作。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按照计划生育目标管理责任制度，负责辖区内的计划生育工作。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负责制定本镇畜牧业的发展规划，并组织实施。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lang w:val="zh-CN"/>
        </w:rPr>
      </w:pPr>
      <w:r>
        <w:rPr>
          <w:rFonts w:hint="eastAsia" w:ascii="仿宋" w:hAnsi="仿宋" w:eastAsia="仿宋" w:cs="仿宋"/>
          <w:sz w:val="32"/>
          <w:szCs w:val="32"/>
          <w:lang w:val="en-US" w:eastAsia="zh-CN"/>
        </w:rPr>
        <w:t>13、</w:t>
      </w:r>
      <w:r>
        <w:rPr>
          <w:rFonts w:hint="eastAsia" w:ascii="仿宋" w:hAnsi="仿宋" w:eastAsia="仿宋" w:cs="仿宋"/>
          <w:sz w:val="32"/>
          <w:szCs w:val="32"/>
        </w:rPr>
        <w:t xml:space="preserve">负责抓好本镇的财政、金融和税费征收协调工作。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lang w:val="zh-CN"/>
        </w:rPr>
      </w:pPr>
      <w:r>
        <w:rPr>
          <w:rFonts w:hint="eastAsia" w:ascii="仿宋" w:hAnsi="仿宋" w:eastAsia="仿宋" w:cs="仿宋"/>
          <w:sz w:val="32"/>
          <w:szCs w:val="32"/>
          <w:lang w:val="en-US" w:eastAsia="zh-CN"/>
        </w:rPr>
        <w:t>14、</w:t>
      </w:r>
      <w:r>
        <w:rPr>
          <w:rFonts w:hint="eastAsia" w:ascii="仿宋" w:hAnsi="仿宋" w:eastAsia="仿宋" w:cs="仿宋"/>
          <w:sz w:val="32"/>
          <w:szCs w:val="32"/>
        </w:rPr>
        <w:t xml:space="preserve">承办县委、县政府交办的其他工作。  </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人员概况</w:t>
      </w:r>
    </w:p>
    <w:p>
      <w:pPr>
        <w:pStyle w:val="2"/>
        <w:keepNext w:val="0"/>
        <w:keepLines w:val="0"/>
        <w:pageBreakBefore w:val="0"/>
        <w:numPr>
          <w:ilvl w:val="0"/>
          <w:numId w:val="0"/>
        </w:numPr>
        <w:kinsoku/>
        <w:wordWrap/>
        <w:overflowPunct/>
        <w:topLinePunct w:val="0"/>
        <w:autoSpaceDE/>
        <w:autoSpaceDN/>
        <w:bidi w:val="0"/>
        <w:spacing w:beforeLines="0" w:line="560" w:lineRule="exact"/>
        <w:ind w:left="0" w:leftChars="0" w:firstLine="640" w:firstLineChars="200"/>
        <w:jc w:val="both"/>
        <w:textAlignment w:val="auto"/>
        <w:outlineLvl w:val="9"/>
        <w:rPr>
          <w:lang w:val="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年年末单位实有人数</w:t>
      </w:r>
      <w:r>
        <w:rPr>
          <w:rFonts w:hint="eastAsia" w:ascii="仿宋" w:hAnsi="仿宋" w:eastAsia="仿宋" w:cs="仿宋"/>
          <w:sz w:val="32"/>
          <w:szCs w:val="32"/>
          <w:lang w:val="en-US" w:eastAsia="zh-CN"/>
        </w:rPr>
        <w:t>335</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39</w:t>
      </w:r>
      <w:r>
        <w:rPr>
          <w:rFonts w:hint="eastAsia" w:ascii="仿宋" w:hAnsi="仿宋" w:eastAsia="仿宋" w:cs="仿宋"/>
          <w:sz w:val="32"/>
          <w:szCs w:val="32"/>
        </w:rPr>
        <w:t>人，事业2</w:t>
      </w:r>
      <w:r>
        <w:rPr>
          <w:rFonts w:hint="eastAsia" w:ascii="仿宋" w:hAnsi="仿宋" w:eastAsia="仿宋" w:cs="仿宋"/>
          <w:sz w:val="32"/>
          <w:szCs w:val="32"/>
          <w:lang w:val="en-US" w:eastAsia="zh-CN"/>
        </w:rPr>
        <w:t>94</w:t>
      </w:r>
      <w:r>
        <w:rPr>
          <w:rFonts w:hint="eastAsia" w:ascii="仿宋" w:hAnsi="仿宋" w:eastAsia="仿宋" w:cs="仿宋"/>
          <w:sz w:val="32"/>
          <w:szCs w:val="32"/>
        </w:rPr>
        <w:t>人，</w:t>
      </w:r>
      <w:r>
        <w:rPr>
          <w:rFonts w:hint="eastAsia" w:ascii="仿宋" w:hAnsi="仿宋" w:eastAsia="仿宋" w:cs="仿宋"/>
          <w:sz w:val="32"/>
          <w:szCs w:val="32"/>
          <w:lang w:eastAsia="zh-CN"/>
        </w:rPr>
        <w:t>行政</w:t>
      </w:r>
      <w:r>
        <w:rPr>
          <w:rFonts w:hint="eastAsia" w:ascii="仿宋" w:hAnsi="仿宋" w:eastAsia="仿宋" w:cs="仿宋"/>
          <w:sz w:val="32"/>
          <w:szCs w:val="32"/>
        </w:rPr>
        <w:t>工勤2人。</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9"/>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（一）部门财政资金收入情况</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lang w:val="zh-CN"/>
        </w:rPr>
      </w:pPr>
      <w:r>
        <w:rPr>
          <w:rFonts w:ascii="仿宋" w:hAnsi="仿宋" w:eastAsia="仿宋"/>
          <w:sz w:val="32"/>
          <w:szCs w:val="32"/>
        </w:rPr>
        <w:t>20</w:t>
      </w:r>
      <w:r>
        <w:rPr>
          <w:rFonts w:hint="eastAsia" w:ascii="仿宋" w:hAnsi="仿宋" w:eastAsia="仿宋"/>
          <w:sz w:val="32"/>
          <w:szCs w:val="32"/>
        </w:rPr>
        <w:t>21年本年收入合计6,238.99万元，其中：一般公共预算财政拨款收入5,842.60万元，占</w:t>
      </w:r>
      <w:r>
        <w:rPr>
          <w:rFonts w:hint="eastAsia" w:ascii="仿宋" w:hAnsi="仿宋" w:eastAsia="仿宋"/>
          <w:sz w:val="32"/>
          <w:szCs w:val="32"/>
          <w:lang w:val="en-US" w:eastAsia="zh-CN"/>
        </w:rPr>
        <w:t>93.65</w:t>
      </w:r>
      <w:r>
        <w:rPr>
          <w:rFonts w:ascii="仿宋" w:hAnsi="仿宋" w:eastAsia="仿宋"/>
          <w:sz w:val="32"/>
          <w:szCs w:val="32"/>
        </w:rPr>
        <w:t>%</w:t>
      </w:r>
      <w:r>
        <w:rPr>
          <w:rFonts w:hint="eastAsia" w:ascii="仿宋" w:hAnsi="仿宋" w:eastAsia="仿宋"/>
          <w:sz w:val="32"/>
          <w:szCs w:val="32"/>
        </w:rPr>
        <w:t>；政府性基金预算财政拨款收入396.40万元，占</w:t>
      </w:r>
      <w:r>
        <w:rPr>
          <w:rFonts w:hint="eastAsia" w:ascii="仿宋" w:hAnsi="仿宋" w:eastAsia="仿宋"/>
          <w:sz w:val="32"/>
          <w:szCs w:val="32"/>
          <w:lang w:val="en-US" w:eastAsia="zh-CN"/>
        </w:rPr>
        <w:t>6.35</w:t>
      </w:r>
      <w:r>
        <w:rPr>
          <w:rFonts w:ascii="仿宋" w:hAnsi="仿宋" w:eastAsia="仿宋"/>
          <w:sz w:val="32"/>
          <w:szCs w:val="32"/>
        </w:rPr>
        <w:t>%</w:t>
      </w:r>
      <w:r>
        <w:rPr>
          <w:rFonts w:hint="eastAsia" w:ascii="仿宋" w:hAnsi="仿宋" w:eastAsia="仿宋"/>
          <w:sz w:val="32"/>
          <w:szCs w:val="32"/>
          <w:lang w:eastAsia="zh-CN"/>
        </w:rPr>
        <w:t>。</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部门财政资金支出情况</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lang w:val="zh-CN"/>
        </w:rPr>
      </w:pPr>
      <w:r>
        <w:rPr>
          <w:rFonts w:ascii="仿宋" w:hAnsi="仿宋" w:eastAsia="仿宋"/>
          <w:sz w:val="32"/>
          <w:szCs w:val="32"/>
        </w:rPr>
        <w:t>20</w:t>
      </w:r>
      <w:r>
        <w:rPr>
          <w:rFonts w:hint="eastAsia" w:ascii="仿宋" w:hAnsi="仿宋" w:eastAsia="仿宋"/>
          <w:sz w:val="32"/>
          <w:szCs w:val="32"/>
        </w:rPr>
        <w:t>21年本年支出合计6,238.99万元，其中：基本支出4</w:t>
      </w:r>
      <w:r>
        <w:rPr>
          <w:rFonts w:hint="eastAsia" w:ascii="仿宋" w:hAnsi="仿宋" w:eastAsia="仿宋"/>
          <w:sz w:val="32"/>
          <w:szCs w:val="32"/>
          <w:lang w:val="en-US" w:eastAsia="zh-CN"/>
        </w:rPr>
        <w:t>,</w:t>
      </w:r>
      <w:r>
        <w:rPr>
          <w:rFonts w:hint="eastAsia" w:ascii="仿宋" w:hAnsi="仿宋" w:eastAsia="仿宋"/>
          <w:sz w:val="32"/>
          <w:szCs w:val="32"/>
        </w:rPr>
        <w:t>718.27万元，占</w:t>
      </w:r>
      <w:r>
        <w:rPr>
          <w:rFonts w:hint="eastAsia" w:ascii="仿宋" w:hAnsi="仿宋" w:eastAsia="仿宋"/>
          <w:sz w:val="32"/>
          <w:szCs w:val="32"/>
          <w:lang w:val="en-US" w:eastAsia="zh-CN"/>
        </w:rPr>
        <w:t>75.63</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1,520.72</w:t>
      </w:r>
      <w:r>
        <w:rPr>
          <w:rFonts w:hint="eastAsia" w:ascii="仿宋" w:hAnsi="仿宋" w:eastAsia="仿宋"/>
          <w:sz w:val="32"/>
          <w:szCs w:val="32"/>
        </w:rPr>
        <w:t>万元，占</w:t>
      </w:r>
      <w:r>
        <w:rPr>
          <w:rFonts w:hint="eastAsia" w:ascii="仿宋" w:hAnsi="仿宋" w:eastAsia="仿宋"/>
          <w:sz w:val="32"/>
          <w:szCs w:val="32"/>
          <w:lang w:val="en-US" w:eastAsia="zh-CN"/>
        </w:rPr>
        <w:t>24.37</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9"/>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 xml:space="preserve">部门预算管理 </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年预算编制严格按照县财政局下发的文件要求，结合本单位实际，按照增收节支、保障重点、优化结构、厉行节约的原则，严控“三公”经费管理，从严从紧编制预算。在编制过程中，认真核实单位实际财政供养人数和单位实有编制情况，正确编制人员经费和公用经费等，做到尽量细化项目资金支出预算范围和科目，及时上报相关股室进行审核，对所编制的预算予以调整通过。在编制项目预算时对项目进行了充分论证和可行性分析，按项目实施轻重缓急的原则提前细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认真编制202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年度决算报表。为真实、准确反应单位年度财务收、支情况，根据县财政局要求，认真开展部门年度决算报表编制工作。按照政府收支分类科目和财务报表支出情况编制部门决算，决算收入、支出口径与财政局国库股、预算股和行财股以及财政大平台核对无误，报表编制无差错，全面、真实、准确地反映了百和镇人民政府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年度财政资金的使用情况。在规定时间内及时将部门预算、决算、“三公”经费预算在泸县政府门户网站上予以公开。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部门预算执行进度情况。按《预算法》和财政有关规定，职工工资等人员经费按月发放，公用经费报计划经财政相关股室审核后及时支付，项目经费下达到我单位后及时申请划拨。在支付方式上，工资实行财政直接支付；项目资金及公用经费申请授权支付并采取转账支付或公务卡支付，尽量减少现金支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（二）结果应用情况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在执行各项预算资金中，严格按照中央、省、市、县各级财经政策规定，管好、用好每笔资金。同时，按照单位内部控制建设要求也制定了相应的“财务管理规定”等相关制度，在专项项目资金使用过程中，严格按照项目资金管理办法的规定做好项目实施和监管，切实做到专款专用，从而发挥好项目资金对项目实施的促进作用；资金拨付遵照相关要求经党组会研究决定，杜绝违规违纪事件的发生。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评价结论及建议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 xml:space="preserve">评价结论 </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照财政资金使用用途和目的，泸县百和镇人民政府健全了资金管理制度，款项支付规范，最大限度地发挥了财政资金的使用效率，认真执行年初预算资金计划，账务核算及时规范，保障了机关正常运转，促进了项目建设全面完成，较好地完成了年度工作目标任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（二）存在问题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通过对202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整体支出绩效评价，我们认识到，绩效管理不只是财政支出方面，而应更加注重产出及效率，这样，有利于我们强化支出的责任，提高财政资金的使用效率，更好地促进我们履行职责。自评发现存在基础工作管理方面，部分内控制度得不到有效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 xml:space="preserve">改进建议 </w:t>
      </w:r>
    </w:p>
    <w:p>
      <w:pPr>
        <w:pStyle w:val="2"/>
        <w:keepNext w:val="0"/>
        <w:keepLines w:val="0"/>
        <w:pageBreakBefore w:val="0"/>
        <w:kinsoku/>
        <w:wordWrap/>
        <w:overflowPunct/>
        <w:topLinePunct w:val="0"/>
        <w:autoSpaceDE/>
        <w:autoSpaceDN/>
        <w:bidi w:val="0"/>
        <w:spacing w:beforeLines="0" w:line="560" w:lineRule="exact"/>
        <w:ind w:left="0" w:leftChars="0" w:firstLine="640" w:firstLineChars="200"/>
        <w:jc w:val="both"/>
        <w:textAlignment w:val="auto"/>
        <w:outlineLvl w:val="9"/>
        <w:rPr>
          <w:rFonts w:hAnsi="宋体" w:cs="宋体"/>
          <w:sz w:val="32"/>
          <w:szCs w:val="32"/>
          <w:shd w:val="clear" w:color="auto" w:fill="FFFFFF"/>
          <w:lang w:val="zh-CN"/>
        </w:rPr>
      </w:pPr>
      <w:r>
        <w:rPr>
          <w:rFonts w:hint="eastAsia" w:ascii="仿宋" w:hAnsi="仿宋" w:eastAsia="仿宋" w:cs="仿宋"/>
          <w:sz w:val="32"/>
          <w:szCs w:val="32"/>
        </w:rPr>
        <w:t>细化预算编制工作，认真做好预算的编制。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pStyle w:val="2"/>
        <w:keepNext w:val="0"/>
        <w:keepLines w:val="0"/>
        <w:pageBreakBefore w:val="0"/>
        <w:kinsoku/>
        <w:wordWrap/>
        <w:overflowPunct/>
        <w:topLinePunct w:val="0"/>
        <w:autoSpaceDE/>
        <w:autoSpaceDN/>
        <w:bidi w:val="0"/>
        <w:spacing w:beforeLines="0" w:line="560" w:lineRule="exact"/>
        <w:ind w:left="0" w:leftChars="0" w:firstLine="640" w:firstLineChars="200"/>
        <w:jc w:val="both"/>
        <w:textAlignment w:val="auto"/>
        <w:outlineLvl w:val="9"/>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spacing w:line="600" w:lineRule="exact"/>
        <w:jc w:val="center"/>
        <w:outlineLvl w:val="0"/>
        <w:rPr>
          <w:rFonts w:hint="eastAsia" w:ascii="黑体" w:hAnsi="黑体" w:eastAsia="黑体"/>
          <w:sz w:val="44"/>
          <w:szCs w:val="44"/>
        </w:rPr>
      </w:pPr>
      <w:bookmarkStart w:id="66" w:name="_Toc15396618"/>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65"/>
      <w:bookmarkEnd w:id="66"/>
      <w:bookmarkStart w:id="67"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67"/>
    </w:p>
    <w:p>
      <w:pPr>
        <w:pStyle w:val="4"/>
        <w:rPr>
          <w:rFonts w:ascii="仿宋" w:hAnsi="仿宋" w:eastAsia="仿宋"/>
        </w:rPr>
      </w:pPr>
      <w:bookmarkStart w:id="68" w:name="_Toc15396620"/>
      <w:r>
        <w:rPr>
          <w:rFonts w:hint="eastAsia" w:ascii="仿宋" w:hAnsi="仿宋" w:eastAsia="仿宋"/>
          <w:b w:val="0"/>
        </w:rPr>
        <w:t>二、收</w:t>
      </w:r>
      <w:r>
        <w:rPr>
          <w:rStyle w:val="25"/>
          <w:rFonts w:hint="eastAsia" w:ascii="仿宋" w:hAnsi="仿宋" w:eastAsia="仿宋"/>
          <w:b w:val="0"/>
          <w:bCs w:val="0"/>
        </w:rPr>
        <w:t>入决算表</w:t>
      </w:r>
      <w:bookmarkEnd w:id="68"/>
    </w:p>
    <w:p>
      <w:pPr>
        <w:pStyle w:val="4"/>
        <w:rPr>
          <w:rFonts w:ascii="仿宋" w:hAnsi="仿宋" w:eastAsia="仿宋"/>
        </w:rPr>
      </w:pPr>
      <w:bookmarkStart w:id="69"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69"/>
    </w:p>
    <w:p>
      <w:pPr>
        <w:pStyle w:val="4"/>
        <w:rPr>
          <w:rFonts w:ascii="仿宋" w:hAnsi="仿宋" w:eastAsia="仿宋"/>
          <w:b w:val="0"/>
        </w:rPr>
      </w:pPr>
      <w:bookmarkStart w:id="70"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70"/>
    </w:p>
    <w:p>
      <w:pPr>
        <w:pStyle w:val="4"/>
        <w:rPr>
          <w:rStyle w:val="25"/>
          <w:rFonts w:ascii="仿宋" w:hAnsi="仿宋" w:eastAsia="仿宋"/>
          <w:b w:val="0"/>
          <w:bCs w:val="0"/>
        </w:rPr>
      </w:pPr>
      <w:bookmarkStart w:id="71"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71"/>
      <w:bookmarkStart w:id="72"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72"/>
    </w:p>
    <w:p>
      <w:pPr>
        <w:pStyle w:val="4"/>
        <w:rPr>
          <w:rFonts w:ascii="仿宋" w:hAnsi="仿宋" w:eastAsia="仿宋"/>
        </w:rPr>
      </w:pPr>
      <w:bookmarkStart w:id="73"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73"/>
    </w:p>
    <w:p>
      <w:pPr>
        <w:pStyle w:val="4"/>
        <w:rPr>
          <w:rFonts w:ascii="仿宋" w:hAnsi="仿宋" w:eastAsia="仿宋"/>
        </w:rPr>
      </w:pPr>
      <w:bookmarkStart w:id="74"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74"/>
    </w:p>
    <w:p>
      <w:pPr>
        <w:pStyle w:val="4"/>
        <w:rPr>
          <w:rFonts w:ascii="仿宋" w:hAnsi="仿宋" w:eastAsia="仿宋"/>
        </w:rPr>
      </w:pPr>
      <w:bookmarkStart w:id="75"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75"/>
    </w:p>
    <w:p>
      <w:pPr>
        <w:pStyle w:val="4"/>
        <w:rPr>
          <w:rFonts w:ascii="仿宋" w:hAnsi="仿宋" w:eastAsia="仿宋"/>
        </w:rPr>
      </w:pPr>
      <w:bookmarkStart w:id="76"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76"/>
    </w:p>
    <w:p>
      <w:pPr>
        <w:pStyle w:val="4"/>
        <w:rPr>
          <w:rFonts w:ascii="仿宋" w:hAnsi="仿宋" w:eastAsia="仿宋"/>
        </w:rPr>
      </w:pPr>
      <w:bookmarkStart w:id="77"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77"/>
    </w:p>
    <w:p>
      <w:pPr>
        <w:pStyle w:val="4"/>
        <w:rPr>
          <w:rFonts w:ascii="仿宋" w:hAnsi="仿宋" w:eastAsia="仿宋"/>
        </w:rPr>
      </w:pPr>
      <w:bookmarkStart w:id="78"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78"/>
    </w:p>
    <w:p>
      <w:pPr>
        <w:pStyle w:val="4"/>
        <w:rPr>
          <w:rStyle w:val="25"/>
          <w:rFonts w:ascii="仿宋" w:hAnsi="仿宋" w:eastAsia="仿宋"/>
          <w:b w:val="0"/>
          <w:bCs w:val="0"/>
        </w:rPr>
      </w:pPr>
      <w:bookmarkStart w:id="79"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79"/>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9E9DE"/>
    <w:multiLevelType w:val="singleLevel"/>
    <w:tmpl w:val="BD49E9DE"/>
    <w:lvl w:ilvl="0" w:tentative="0">
      <w:start w:val="1"/>
      <w:numFmt w:val="decimal"/>
      <w:suff w:val="nothing"/>
      <w:lvlText w:val="%1、"/>
      <w:lvlJc w:val="left"/>
      <w:pPr>
        <w:ind w:left="-60"/>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0574E91"/>
    <w:multiLevelType w:val="singleLevel"/>
    <w:tmpl w:val="E0574E91"/>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0280309E"/>
    <w:multiLevelType w:val="singleLevel"/>
    <w:tmpl w:val="0280309E"/>
    <w:lvl w:ilvl="0" w:tentative="0">
      <w:start w:val="1"/>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831971A"/>
    <w:multiLevelType w:val="singleLevel"/>
    <w:tmpl w:val="1831971A"/>
    <w:lvl w:ilvl="0" w:tentative="0">
      <w:start w:val="4"/>
      <w:numFmt w:val="chineseCounting"/>
      <w:suff w:val="nothing"/>
      <w:lvlText w:val="%1、"/>
      <w:lvlJc w:val="left"/>
      <w:rPr>
        <w:rFonts w:hint="eastAsia"/>
      </w:rPr>
    </w:lvl>
  </w:abstractNum>
  <w:abstractNum w:abstractNumId="7">
    <w:nsid w:val="44760185"/>
    <w:multiLevelType w:val="singleLevel"/>
    <w:tmpl w:val="44760185"/>
    <w:lvl w:ilvl="0" w:tentative="0">
      <w:start w:val="2"/>
      <w:numFmt w:val="chineseCounting"/>
      <w:suff w:val="nothing"/>
      <w:lvlText w:val="（%1）"/>
      <w:lvlJc w:val="left"/>
      <w:rPr>
        <w:rFonts w:hint="eastAsia"/>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yZmE0OTM5N2I1N2JiM2E0NzM4YmRkNWZkNDI5NG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2DFE"/>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2CE"/>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7A16"/>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C52"/>
    <w:rsid w:val="00F754A1"/>
    <w:rsid w:val="00F81FD9"/>
    <w:rsid w:val="00F841AA"/>
    <w:rsid w:val="00F84A94"/>
    <w:rsid w:val="00F87E96"/>
    <w:rsid w:val="00FA23E8"/>
    <w:rsid w:val="00FD3CC1"/>
    <w:rsid w:val="00FF1E02"/>
    <w:rsid w:val="00FF30B4"/>
    <w:rsid w:val="029C7664"/>
    <w:rsid w:val="02A87BA3"/>
    <w:rsid w:val="05AC01E3"/>
    <w:rsid w:val="066E0107"/>
    <w:rsid w:val="067B6D16"/>
    <w:rsid w:val="07996F6E"/>
    <w:rsid w:val="0A2032A3"/>
    <w:rsid w:val="101860EC"/>
    <w:rsid w:val="10C055FF"/>
    <w:rsid w:val="118107EC"/>
    <w:rsid w:val="13D50BC4"/>
    <w:rsid w:val="142179C9"/>
    <w:rsid w:val="157536B8"/>
    <w:rsid w:val="16BB723D"/>
    <w:rsid w:val="1BE8440E"/>
    <w:rsid w:val="1D155CEE"/>
    <w:rsid w:val="23860B96"/>
    <w:rsid w:val="240371BF"/>
    <w:rsid w:val="26B5598B"/>
    <w:rsid w:val="276B1A7B"/>
    <w:rsid w:val="29FD04D3"/>
    <w:rsid w:val="2C8A61B5"/>
    <w:rsid w:val="2DF04E50"/>
    <w:rsid w:val="2F9E6EAD"/>
    <w:rsid w:val="317259F8"/>
    <w:rsid w:val="319F7F4E"/>
    <w:rsid w:val="33022BFC"/>
    <w:rsid w:val="330D3C4D"/>
    <w:rsid w:val="341A4807"/>
    <w:rsid w:val="34343E30"/>
    <w:rsid w:val="3533537B"/>
    <w:rsid w:val="36AA5135"/>
    <w:rsid w:val="37E16F03"/>
    <w:rsid w:val="39885DAF"/>
    <w:rsid w:val="3AB57052"/>
    <w:rsid w:val="3D98207C"/>
    <w:rsid w:val="44E268DA"/>
    <w:rsid w:val="458D0E8A"/>
    <w:rsid w:val="47B64A4D"/>
    <w:rsid w:val="4A627F82"/>
    <w:rsid w:val="4A892853"/>
    <w:rsid w:val="4B4F25DA"/>
    <w:rsid w:val="4BE068DB"/>
    <w:rsid w:val="4D577224"/>
    <w:rsid w:val="4EAB630A"/>
    <w:rsid w:val="4ECE2238"/>
    <w:rsid w:val="515C2DD9"/>
    <w:rsid w:val="5AF92295"/>
    <w:rsid w:val="5B19553C"/>
    <w:rsid w:val="5B3A0320"/>
    <w:rsid w:val="5CD71FC4"/>
    <w:rsid w:val="5F0541D8"/>
    <w:rsid w:val="5FC7309C"/>
    <w:rsid w:val="6C4A05C8"/>
    <w:rsid w:val="6E7E3605"/>
    <w:rsid w:val="6FF5CC65"/>
    <w:rsid w:val="715C0E4B"/>
    <w:rsid w:val="72734D90"/>
    <w:rsid w:val="73AD73D5"/>
    <w:rsid w:val="73B6EB34"/>
    <w:rsid w:val="78C51A0B"/>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rPr altLang="zh-CN"/>
              <a:t>收入、支出总计变动图</a:t>
            </a:r>
            <a:endParaRPr altLang="zh-CN"/>
          </a:p>
        </c:rich>
      </c:tx>
      <c:layout>
        <c:manualLayout>
          <c:xMode val="edge"/>
          <c:yMode val="edge"/>
          <c:x val="0.386875"/>
          <c:y val="0.015121951219512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Sheet1!$A$2:$A$3</c15:sqref>
                  </c15:fullRef>
                </c:ext>
              </c:extLst>
              <c:f>Sheet1!$A$2:$A$3</c:f>
              <c:strCache>
                <c:ptCount val="2"/>
                <c:pt idx="0">
                  <c:v>总收入</c:v>
                </c:pt>
                <c:pt idx="1">
                  <c:v>总支出</c:v>
                </c:pt>
              </c:strCache>
            </c:strRef>
          </c:cat>
          <c:val>
            <c:numRef>
              <c:extLst>
                <c:ext xmlns:c15="http://schemas.microsoft.com/office/drawing/2012/chart" uri="{02D57815-91ED-43cb-92C2-25804820EDAC}">
                  <c15:fullRef>
                    <c15:sqref>Sheet1!$B$2:$B$3</c15:sqref>
                  </c15:fullRef>
                </c:ext>
              </c:extLst>
              <c:f>Sheet1!$B$2:$B$3</c:f>
              <c:numCache>
                <c:formatCode>General</c:formatCode>
                <c:ptCount val="2"/>
                <c:pt idx="0">
                  <c:v>7019.06</c:v>
                </c:pt>
                <c:pt idx="1">
                  <c:v>7019.06</c:v>
                </c:pt>
              </c:numCache>
            </c:numRef>
          </c:val>
        </c:ser>
        <c:ser>
          <c:idx val="1"/>
          <c:order val="1"/>
          <c:tx>
            <c:strRef>
              <c:f>Sheet1!$C$1</c:f>
              <c:strCache>
                <c:ptCount val="1"/>
                <c:pt idx="0">
                  <c:v>2021年</c:v>
                </c:pt>
              </c:strCache>
            </c:strRef>
          </c:tx>
          <c:spPr>
            <a:solidFill>
              <a:schemeClr val="accent2"/>
            </a:solidFill>
            <a:ln w="6350" cmpd="sng">
              <a:solidFill>
                <a:schemeClr val="accent1"/>
              </a:solidFill>
              <a:prstDash val="solid"/>
            </a:ln>
            <a:effectLst/>
            <a:sp3d contourW="6350"/>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Sheet1!$A$2:$A$3</c15:sqref>
                  </c15:fullRef>
                </c:ext>
              </c:extLst>
              <c:f>Sheet1!$A$2:$A$3</c:f>
              <c:strCache>
                <c:ptCount val="2"/>
                <c:pt idx="0">
                  <c:v>总收入</c:v>
                </c:pt>
                <c:pt idx="1">
                  <c:v>总支出</c:v>
                </c:pt>
              </c:strCache>
            </c:strRef>
          </c:cat>
          <c:val>
            <c:numRef>
              <c:extLst>
                <c:ext xmlns:c15="http://schemas.microsoft.com/office/drawing/2012/chart" uri="{02D57815-91ED-43cb-92C2-25804820EDAC}">
                  <c15:fullRef>
                    <c15:sqref>Sheet1!$C$2:$C$3</c15:sqref>
                  </c15:fullRef>
                </c:ext>
              </c:extLst>
              <c:f>Sheet1!$C$2:$C$3</c:f>
              <c:numCache>
                <c:formatCode>General</c:formatCode>
                <c:ptCount val="2"/>
                <c:pt idx="0">
                  <c:v>6238.99</c:v>
                </c:pt>
                <c:pt idx="1">
                  <c:v>6238.99</c:v>
                </c:pt>
              </c:numCache>
            </c:numRef>
          </c:val>
        </c:ser>
        <c:dLbls>
          <c:showLegendKey val="0"/>
          <c:showVal val="1"/>
          <c:showCatName val="0"/>
          <c:showSerName val="0"/>
          <c:showPercent val="0"/>
          <c:showBubbleSize val="0"/>
        </c:dLbls>
        <c:gapWidth val="219"/>
        <c:overlap val="-27"/>
        <c:axId val="60133283"/>
        <c:axId val="462906499"/>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Sheet1!$A$2:$A$3</c15:sqref>
                        </c15:fullRef>
                        <c15:formulaRef>
                          <c15:sqref>Sheet1!$A$2:$A$3</c15:sqref>
                        </c15:formulaRef>
                      </c:ext>
                    </c:extLst>
                    <c:strCache>
                      <c:ptCount val="2"/>
                      <c:pt idx="0">
                        <c:v>总收入</c:v>
                      </c:pt>
                      <c:pt idx="1">
                        <c:v>总支出</c:v>
                      </c:pt>
                    </c:strCache>
                  </c:strRef>
                </c:cat>
              </c15:ser>
            </c15:filteredBarSeries>
          </c:ext>
        </c:extLst>
      </c:barChart>
      <c:catAx>
        <c:axId val="60133283"/>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2906499"/>
        <c:crosses val="autoZero"/>
        <c:auto val="1"/>
        <c:lblAlgn val="ctr"/>
        <c:lblOffset val="100"/>
        <c:noMultiLvlLbl val="0"/>
      </c:catAx>
      <c:valAx>
        <c:axId val="462906499"/>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b" anchorCtr="0"/>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86"/>
              <c:y val="0.0414634146341463"/>
            </c:manualLayout>
          </c:layout>
          <c:overlay val="0"/>
          <c:spPr>
            <a:noFill/>
            <a:ln>
              <a:noFill/>
            </a:ln>
            <a:effectLst/>
          </c:spPr>
        </c:title>
        <c:numFmt formatCode="General" sourceLinked="0"/>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13328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397125"/>
          <c:y val="0.921813725490196"/>
          <c:w val="0.34425"/>
          <c:h val="0.0708333333333333"/>
        </c:manualLayout>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0"/>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sz="1050">
                <a:solidFill>
                  <a:schemeClr val="tx1"/>
                </a:solidFill>
              </a:rPr>
              <a:t>单位</a:t>
            </a:r>
            <a:r>
              <a:rPr lang="en-US" altLang="zh-CN" sz="1050">
                <a:solidFill>
                  <a:schemeClr val="tx1"/>
                </a:solidFill>
              </a:rPr>
              <a:t>:</a:t>
            </a:r>
            <a:r>
              <a:rPr altLang="en-US" sz="1050">
                <a:solidFill>
                  <a:schemeClr val="tx1"/>
                </a:solidFill>
              </a:rPr>
              <a:t>万元</a:t>
            </a:r>
            <a:endParaRPr altLang="en-US" sz="1050">
              <a:solidFill>
                <a:schemeClr val="tx1"/>
              </a:solidFill>
            </a:endParaRPr>
          </a:p>
        </c:rich>
      </c:tx>
      <c:layout>
        <c:manualLayout>
          <c:xMode val="edge"/>
          <c:yMode val="edge"/>
          <c:x val="0.828020901371653"/>
          <c:y val="0.0872727272727273"/>
        </c:manualLayout>
      </c:layout>
      <c:overlay val="0"/>
      <c:spPr>
        <a:noFill/>
        <a:ln>
          <a:noFill/>
        </a:ln>
        <a:effectLst/>
      </c:spPr>
    </c:title>
    <c:autoTitleDeleted val="0"/>
    <c:plotArea>
      <c:layout/>
      <c:pieChart>
        <c:varyColors val="1"/>
        <c:ser>
          <c:idx val="0"/>
          <c:order val="0"/>
          <c:tx>
            <c:strRef>
              <c:f>Sheet1!$B$1:$C$1</c:f>
              <c:strCache>
                <c:ptCount val="1"/>
                <c:pt idx="0">
                  <c:v>收入决算结构图</c:v>
                </c:pt>
              </c:strCache>
            </c:strRef>
          </c:tx>
          <c:spPr>
            <a:ln w="12700" cmpd="sng">
              <a:solidFill>
                <a:schemeClr val="bg1">
                  <a:lumMod val="90000"/>
                </a:schemeClr>
              </a:solidFill>
              <a:prstDash val="solid"/>
            </a:ln>
            <a:sp3d contourW="12700"/>
          </c:spPr>
          <c:explosion val="0"/>
          <c:dPt>
            <c:idx val="0"/>
            <c:bubble3D val="0"/>
            <c:spPr>
              <a:solidFill>
                <a:schemeClr val="accent1"/>
              </a:solidFill>
              <a:ln w="12700" cmpd="sng">
                <a:solidFill>
                  <a:schemeClr val="bg1">
                    <a:lumMod val="90000"/>
                  </a:schemeClr>
                </a:solidFill>
                <a:prstDash val="solid"/>
              </a:ln>
              <a:effectLst/>
              <a:sp3d contourW="12700"/>
            </c:spPr>
          </c:dPt>
          <c:dPt>
            <c:idx val="1"/>
            <c:bubble3D val="0"/>
            <c:spPr>
              <a:solidFill>
                <a:schemeClr val="accent2"/>
              </a:solidFill>
              <a:ln w="12700" cmpd="sng">
                <a:solidFill>
                  <a:schemeClr val="bg1">
                    <a:lumMod val="90000"/>
                  </a:schemeClr>
                </a:solidFill>
                <a:prstDash val="solid"/>
              </a:ln>
              <a:effectLst/>
              <a:sp3d contourW="127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5842.6</c:v>
                </c:pt>
                <c:pt idx="1">
                  <c:v>396.4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sz="1050">
                <a:solidFill>
                  <a:schemeClr val="tx1"/>
                </a:solidFill>
              </a:rPr>
              <a:t>单位：万元</a:t>
            </a:r>
            <a:endParaRPr sz="1050">
              <a:solidFill>
                <a:schemeClr val="tx1"/>
              </a:solidFill>
            </a:endParaRPr>
          </a:p>
        </c:rich>
      </c:tx>
      <c:layout>
        <c:manualLayout>
          <c:xMode val="edge"/>
          <c:yMode val="edge"/>
          <c:x val="0.79159456118665"/>
          <c:y val="0.126469085334696"/>
        </c:manualLayout>
      </c:layout>
      <c:overlay val="0"/>
      <c:spPr>
        <a:noFill/>
        <a:ln>
          <a:noFill/>
        </a:ln>
        <a:effectLst/>
      </c:spPr>
    </c:title>
    <c:autoTitleDeleted val="0"/>
    <c:plotArea>
      <c:layout/>
      <c:pieChart>
        <c:varyColors val="1"/>
        <c:ser>
          <c:idx val="0"/>
          <c:order val="0"/>
          <c:tx>
            <c:strRef>
              <c:f>Sheet1!$B$1:$C$1</c:f>
              <c:strCache>
                <c:ptCount val="1"/>
                <c:pt idx="0">
                  <c:v>支出决算结构图</c:v>
                </c:pt>
              </c:strCache>
            </c:strRef>
          </c:tx>
          <c:spPr>
            <a:ln w="12700" cmpd="sng">
              <a:solidFill>
                <a:schemeClr val="bg1">
                  <a:lumMod val="90000"/>
                </a:schemeClr>
              </a:solidFill>
              <a:prstDash val="solid"/>
            </a:ln>
            <a:sp3d contourW="12700"/>
          </c:spPr>
          <c:explosion val="0"/>
          <c:dPt>
            <c:idx val="0"/>
            <c:bubble3D val="0"/>
            <c:spPr>
              <a:solidFill>
                <a:schemeClr val="accent1"/>
              </a:solidFill>
              <a:ln w="12700" cmpd="sng">
                <a:solidFill>
                  <a:schemeClr val="bg1">
                    <a:lumMod val="90000"/>
                  </a:schemeClr>
                </a:solidFill>
                <a:prstDash val="solid"/>
              </a:ln>
              <a:effectLst/>
              <a:sp3d contourW="12700"/>
            </c:spPr>
          </c:dPt>
          <c:dPt>
            <c:idx val="1"/>
            <c:bubble3D val="0"/>
            <c:spPr>
              <a:solidFill>
                <a:schemeClr val="accent2"/>
              </a:solidFill>
              <a:ln w="12700" cmpd="sng">
                <a:solidFill>
                  <a:schemeClr val="bg1">
                    <a:lumMod val="90000"/>
                  </a:schemeClr>
                </a:solidFill>
                <a:prstDash val="solid"/>
              </a:ln>
              <a:effectLst/>
              <a:sp3d contourW="127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4718.27</c:v>
                </c:pt>
                <c:pt idx="1">
                  <c:v>1520.72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财政拨款收入、支出决算总计变动情况</a:t>
            </a:r>
          </a:p>
        </c:rich>
      </c:tx>
      <c:layout/>
      <c:overlay val="0"/>
      <c:spPr>
        <a:noFill/>
        <a:ln>
          <a:noFill/>
        </a:ln>
        <a:effectLst/>
      </c:spPr>
    </c:title>
    <c:autoTitleDeleted val="0"/>
    <c:plotArea>
      <c:layout>
        <c:manualLayout>
          <c:layoutTarget val="inner"/>
          <c:xMode val="edge"/>
          <c:yMode val="edge"/>
          <c:x val="0.080575"/>
          <c:y val="0.158839557621414"/>
          <c:w val="0.8938"/>
          <c:h val="0.670043276166052"/>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7019.06</c:v>
                </c:pt>
                <c:pt idx="1">
                  <c:v>7019.06</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6238.99</c:v>
                </c:pt>
                <c:pt idx="1">
                  <c:v>6238.99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18469296"/>
        <c:axId val="305634844"/>
      </c:barChart>
      <c:catAx>
        <c:axId val="31846929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06725"/>
              <c:y val="0.0846289469466261"/>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634844"/>
        <c:crosses val="autoZero"/>
        <c:auto val="1"/>
        <c:lblAlgn val="ctr"/>
        <c:lblOffset val="100"/>
        <c:noMultiLvlLbl val="0"/>
      </c:catAx>
      <c:valAx>
        <c:axId val="3056348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6929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delete val="1"/>
      </c:legendEntry>
      <c:layout>
        <c:manualLayout>
          <c:xMode val="edge"/>
          <c:yMode val="edge"/>
          <c:x val="0.3505"/>
          <c:y val="0.901586792755249"/>
          <c:w val="0.34325"/>
          <c:h val="0.0868728962974836"/>
        </c:manualLayout>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900">
                <a:solidFill>
                  <a:schemeClr val="tx1">
                    <a:lumMod val="65000"/>
                    <a:lumOff val="35000"/>
                  </a:schemeClr>
                </a:solidFill>
                <a:uFillTx/>
              </a:rPr>
              <a:t>单位：万元</a:t>
            </a:r>
            <a:endParaRPr sz="900">
              <a:solidFill>
                <a:schemeClr val="tx1">
                  <a:lumMod val="65000"/>
                  <a:lumOff val="35000"/>
                </a:schemeClr>
              </a:solidFill>
              <a:uFillTx/>
            </a:endParaRPr>
          </a:p>
        </c:rich>
      </c:tx>
      <c:layout>
        <c:manualLayout>
          <c:xMode val="edge"/>
          <c:yMode val="edge"/>
          <c:x val="0.836125"/>
          <c:y val="0.052377785167941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6081.24</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5842.6</c:v>
                </c:pt>
              </c:numCache>
            </c:numRef>
          </c:val>
        </c:ser>
        <c:dLbls>
          <c:showLegendKey val="0"/>
          <c:showVal val="0"/>
          <c:showCatName val="0"/>
          <c:showSerName val="0"/>
          <c:showPercent val="0"/>
          <c:showBubbleSize val="0"/>
        </c:dLbls>
        <c:gapWidth val="219"/>
        <c:overlap val="-27"/>
        <c:axId val="518292178"/>
        <c:axId val="661544527"/>
      </c:barChart>
      <c:catAx>
        <c:axId val="5182921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544527"/>
        <c:crosses val="autoZero"/>
        <c:auto val="1"/>
        <c:lblAlgn val="ctr"/>
        <c:lblOffset val="100"/>
        <c:noMultiLvlLbl val="0"/>
      </c:catAx>
      <c:valAx>
        <c:axId val="661544527"/>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292178"/>
        <c:crosses val="autoZero"/>
        <c:crossBetween val="between"/>
      </c:valAx>
      <c:spPr>
        <a:noFill/>
        <a:ln>
          <a:noFill/>
        </a:ln>
        <a:effectLst/>
      </c:spPr>
    </c:plotArea>
    <c:legend>
      <c:legendPos val="b"/>
      <c:layout>
        <c:manualLayout>
          <c:xMode val="edge"/>
          <c:yMode val="edge"/>
          <c:x val="0.361931034482759"/>
          <c:y val="0.903208460297544"/>
          <c:w val="0.333103448275862"/>
          <c:h val="0.091414231941208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a:solidFill>
                  <a:schemeClr val="tx1">
                    <a:lumMod val="65000"/>
                    <a:lumOff val="35000"/>
                  </a:schemeClr>
                </a:solidFill>
                <a:uFillTx/>
              </a:rPr>
              <a:t>单位：万元</a:t>
            </a:r>
            <a:endParaRPr sz="1000">
              <a:solidFill>
                <a:schemeClr val="tx1">
                  <a:lumMod val="65000"/>
                  <a:lumOff val="35000"/>
                </a:schemeClr>
              </a:solidFill>
              <a:uFillTx/>
            </a:endParaRPr>
          </a:p>
        </c:rich>
      </c:tx>
      <c:layout>
        <c:manualLayout>
          <c:xMode val="edge"/>
          <c:yMode val="edge"/>
          <c:x val="0.7905"/>
          <c:y val="0.0425"/>
        </c:manualLayout>
      </c:layout>
      <c:overlay val="0"/>
      <c:spPr>
        <a:noFill/>
        <a:ln>
          <a:noFill/>
        </a:ln>
        <a:effectLst/>
      </c:sp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一般公共服务</c:v>
                </c:pt>
                <c:pt idx="1">
                  <c:v>教育支出</c:v>
                </c:pt>
                <c:pt idx="2">
                  <c:v>科学技术支出</c:v>
                </c:pt>
                <c:pt idx="3">
                  <c:v>文化旅游体育与传媒</c:v>
                </c:pt>
                <c:pt idx="4">
                  <c:v>社会保障和就业</c:v>
                </c:pt>
                <c:pt idx="5">
                  <c:v>卫生健康</c:v>
                </c:pt>
                <c:pt idx="6">
                  <c:v>节能环保</c:v>
                </c:pt>
                <c:pt idx="7">
                  <c:v>城乡社区</c:v>
                </c:pt>
                <c:pt idx="8">
                  <c:v>农林水</c:v>
                </c:pt>
                <c:pt idx="9">
                  <c:v>交通运输</c:v>
                </c:pt>
                <c:pt idx="10">
                  <c:v>住房保障</c:v>
                </c:pt>
              </c:strCache>
            </c:strRef>
          </c:cat>
          <c:val>
            <c:numRef>
              <c:f>Sheet1!$B$2:$B$12</c:f>
              <c:numCache>
                <c:formatCode>General</c:formatCode>
                <c:ptCount val="11"/>
                <c:pt idx="0">
                  <c:v>582.39</c:v>
                </c:pt>
                <c:pt idx="1" c:formatCode="#,##0.00">
                  <c:v>3438.91</c:v>
                </c:pt>
                <c:pt idx="2">
                  <c:v>0.8</c:v>
                </c:pt>
                <c:pt idx="3">
                  <c:v>30.12</c:v>
                </c:pt>
                <c:pt idx="4">
                  <c:v>388.52</c:v>
                </c:pt>
                <c:pt idx="5">
                  <c:v>150.96</c:v>
                </c:pt>
                <c:pt idx="6">
                  <c:v>60</c:v>
                </c:pt>
                <c:pt idx="7">
                  <c:v>50</c:v>
                </c:pt>
                <c:pt idx="8">
                  <c:v>862.89</c:v>
                </c:pt>
                <c:pt idx="9">
                  <c:v>60</c:v>
                </c:pt>
                <c:pt idx="10">
                  <c:v>218.01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t>单位：万元</a:t>
            </a:r>
            <a:endParaRPr sz="1050"/>
          </a:p>
        </c:rich>
      </c:tx>
      <c:layout>
        <c:manualLayout>
          <c:xMode val="edge"/>
          <c:yMode val="edge"/>
          <c:x val="0.792632927610506"/>
          <c:y val="0.0956284153005464"/>
        </c:manualLayout>
      </c:layout>
      <c:overlay val="0"/>
      <c:spPr>
        <a:noFill/>
        <a:ln>
          <a:noFill/>
        </a:ln>
        <a:effectLst/>
      </c:sp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10.05</c:v>
                </c:pt>
                <c:pt idx="1">
                  <c:v>11.75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25</Pages>
  <Words>8058</Words>
  <Characters>8843</Characters>
  <Lines>57</Lines>
  <Paragraphs>16</Paragraphs>
  <TotalTime>39</TotalTime>
  <ScaleCrop>false</ScaleCrop>
  <LinksUpToDate>false</LinksUpToDate>
  <CharactersWithSpaces>8919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2023-09-18T03:03:31Z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AE7F8DA7CFBF472F840539862D7087CA</vt:lpwstr>
  </property>
</Properties>
</file>